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5D" w:rsidRPr="00C34BB1" w:rsidRDefault="000C341D" w:rsidP="000C341D">
      <w:pPr>
        <w:pStyle w:val="PaperTitle"/>
        <w:rPr>
          <w:b w:val="0"/>
          <w:bCs/>
          <w:sz w:val="52"/>
          <w:szCs w:val="52"/>
        </w:rPr>
      </w:pPr>
      <w:r w:rsidRPr="00C34BB1">
        <w:rPr>
          <w:sz w:val="52"/>
          <w:szCs w:val="52"/>
        </w:rPr>
        <w:t>3D Numerical Study of the Elastic and Strength Properties of Ceramics with Cylindrical Pores</w:t>
      </w:r>
    </w:p>
    <w:p w:rsidR="0016385D" w:rsidRPr="00C34BB1" w:rsidRDefault="00DD096B" w:rsidP="003A5C85">
      <w:pPr>
        <w:pStyle w:val="AuthorName"/>
        <w:rPr>
          <w:sz w:val="40"/>
          <w:szCs w:val="40"/>
        </w:rPr>
      </w:pPr>
      <w:r w:rsidRPr="00C34BB1">
        <w:rPr>
          <w:sz w:val="40"/>
          <w:szCs w:val="40"/>
        </w:rPr>
        <w:t xml:space="preserve">Alexey Yu. </w:t>
      </w:r>
      <w:proofErr w:type="gramStart"/>
      <w:r w:rsidR="000C341D" w:rsidRPr="00C34BB1">
        <w:rPr>
          <w:sz w:val="40"/>
          <w:szCs w:val="40"/>
        </w:rPr>
        <w:t>Smolin</w:t>
      </w:r>
      <w:r w:rsidR="00EF6940" w:rsidRPr="00C34BB1">
        <w:rPr>
          <w:sz w:val="40"/>
          <w:szCs w:val="40"/>
          <w:vertAlign w:val="superscript"/>
        </w:rPr>
        <w:t>1,</w:t>
      </w:r>
      <w:r w:rsidR="000C341D" w:rsidRPr="00C34BB1">
        <w:rPr>
          <w:sz w:val="40"/>
          <w:szCs w:val="40"/>
          <w:vertAlign w:val="superscript"/>
        </w:rPr>
        <w:t xml:space="preserve"> 2,</w:t>
      </w:r>
      <w:r w:rsidR="003A5C85" w:rsidRPr="00C34BB1">
        <w:rPr>
          <w:sz w:val="40"/>
          <w:szCs w:val="40"/>
          <w:vertAlign w:val="superscript"/>
        </w:rPr>
        <w:t xml:space="preserve"> </w:t>
      </w:r>
      <w:r w:rsidR="00EF6940" w:rsidRPr="00C34BB1">
        <w:rPr>
          <w:sz w:val="40"/>
          <w:szCs w:val="40"/>
          <w:vertAlign w:val="superscript"/>
        </w:rPr>
        <w:t>a)</w:t>
      </w:r>
      <w:r w:rsidR="000C341D" w:rsidRPr="00C34BB1">
        <w:rPr>
          <w:sz w:val="40"/>
          <w:szCs w:val="40"/>
        </w:rPr>
        <w:t xml:space="preserve">, </w:t>
      </w:r>
      <w:r w:rsidRPr="00C34BB1">
        <w:rPr>
          <w:sz w:val="40"/>
          <w:szCs w:val="40"/>
        </w:rPr>
        <w:t xml:space="preserve">Anna A. </w:t>
      </w:r>
      <w:r w:rsidR="000C341D" w:rsidRPr="00C34BB1">
        <w:rPr>
          <w:sz w:val="40"/>
          <w:szCs w:val="40"/>
        </w:rPr>
        <w:t>Shalomeeva</w:t>
      </w:r>
      <w:r w:rsidR="000C341D" w:rsidRPr="00C34BB1">
        <w:rPr>
          <w:sz w:val="40"/>
          <w:szCs w:val="40"/>
          <w:vertAlign w:val="superscript"/>
        </w:rPr>
        <w:t>2, b</w:t>
      </w:r>
      <w:r w:rsidR="000C341D" w:rsidRPr="00C34BB1">
        <w:rPr>
          <w:sz w:val="40"/>
          <w:szCs w:val="40"/>
        </w:rPr>
        <w:t xml:space="preserve"> </w:t>
      </w:r>
      <w:r w:rsidR="0016385D" w:rsidRPr="00C34BB1">
        <w:rPr>
          <w:sz w:val="40"/>
          <w:szCs w:val="40"/>
        </w:rPr>
        <w:t xml:space="preserve">and </w:t>
      </w:r>
      <w:r w:rsidRPr="00C34BB1">
        <w:rPr>
          <w:sz w:val="40"/>
          <w:szCs w:val="40"/>
        </w:rPr>
        <w:t>Irina Yu.</w:t>
      </w:r>
      <w:proofErr w:type="gramEnd"/>
      <w:r w:rsidRPr="00C34BB1">
        <w:rPr>
          <w:sz w:val="40"/>
          <w:szCs w:val="40"/>
        </w:rPr>
        <w:t xml:space="preserve"> </w:t>
      </w:r>
      <w:r w:rsidR="000C341D" w:rsidRPr="00C34BB1">
        <w:rPr>
          <w:sz w:val="40"/>
          <w:szCs w:val="40"/>
        </w:rPr>
        <w:t>Smolina</w:t>
      </w:r>
      <w:r w:rsidR="00EF6940" w:rsidRPr="00C34BB1">
        <w:rPr>
          <w:sz w:val="40"/>
          <w:szCs w:val="40"/>
          <w:vertAlign w:val="superscript"/>
        </w:rPr>
        <w:t>3</w:t>
      </w:r>
      <w:r w:rsidR="003A5C85" w:rsidRPr="00C34BB1">
        <w:rPr>
          <w:sz w:val="40"/>
          <w:szCs w:val="40"/>
          <w:vertAlign w:val="superscript"/>
        </w:rPr>
        <w:t xml:space="preserve">, </w:t>
      </w:r>
      <w:r w:rsidR="000C341D" w:rsidRPr="00C34BB1">
        <w:rPr>
          <w:sz w:val="40"/>
          <w:szCs w:val="40"/>
          <w:vertAlign w:val="superscript"/>
        </w:rPr>
        <w:t>c</w:t>
      </w:r>
      <w:r w:rsidR="003A5C85" w:rsidRPr="00C34BB1">
        <w:rPr>
          <w:sz w:val="40"/>
          <w:szCs w:val="40"/>
          <w:vertAlign w:val="superscript"/>
        </w:rPr>
        <w:t>)</w:t>
      </w:r>
    </w:p>
    <w:p w:rsidR="007B4863" w:rsidRPr="00C34BB1" w:rsidRDefault="00EF6940" w:rsidP="000C341D">
      <w:pPr>
        <w:pStyle w:val="AuthorAffiliation"/>
        <w:rPr>
          <w:sz w:val="32"/>
          <w:szCs w:val="32"/>
        </w:rPr>
      </w:pPr>
      <w:r w:rsidRPr="00C34BB1">
        <w:rPr>
          <w:i w:val="0"/>
          <w:iCs/>
          <w:sz w:val="32"/>
          <w:szCs w:val="32"/>
          <w:vertAlign w:val="superscript"/>
        </w:rPr>
        <w:t>1</w:t>
      </w:r>
      <w:r w:rsidR="000C341D" w:rsidRPr="00C34BB1">
        <w:rPr>
          <w:sz w:val="32"/>
          <w:szCs w:val="32"/>
        </w:rPr>
        <w:t xml:space="preserve">Institute of Strength Physics and Materials Science SB RAS, </w:t>
      </w:r>
      <w:r w:rsidR="0016782F" w:rsidRPr="00C34BB1">
        <w:rPr>
          <w:sz w:val="32"/>
          <w:szCs w:val="32"/>
        </w:rPr>
        <w:br/>
      </w:r>
      <w:r w:rsidR="000C341D" w:rsidRPr="00C34BB1">
        <w:rPr>
          <w:sz w:val="32"/>
          <w:szCs w:val="32"/>
        </w:rPr>
        <w:t xml:space="preserve">2/4, av. </w:t>
      </w:r>
      <w:proofErr w:type="spellStart"/>
      <w:r w:rsidR="000C341D" w:rsidRPr="00C34BB1">
        <w:rPr>
          <w:sz w:val="32"/>
          <w:szCs w:val="32"/>
        </w:rPr>
        <w:t>Akademicheskii</w:t>
      </w:r>
      <w:proofErr w:type="spellEnd"/>
      <w:r w:rsidR="000C341D" w:rsidRPr="00C34BB1">
        <w:rPr>
          <w:sz w:val="32"/>
          <w:szCs w:val="32"/>
        </w:rPr>
        <w:t>, Tomsk, 634055, Russia</w:t>
      </w:r>
      <w:r w:rsidR="00ED4A2C" w:rsidRPr="00C34BB1">
        <w:rPr>
          <w:sz w:val="32"/>
          <w:szCs w:val="32"/>
        </w:rPr>
        <w:br/>
      </w:r>
      <w:r w:rsidRPr="00C34BB1">
        <w:rPr>
          <w:i w:val="0"/>
          <w:iCs/>
          <w:sz w:val="32"/>
          <w:szCs w:val="32"/>
          <w:vertAlign w:val="superscript"/>
        </w:rPr>
        <w:t>2</w:t>
      </w:r>
      <w:r w:rsidR="000C341D" w:rsidRPr="00C34BB1">
        <w:rPr>
          <w:sz w:val="32"/>
          <w:szCs w:val="32"/>
        </w:rPr>
        <w:t xml:space="preserve">Tomsk State University, 36, av. </w:t>
      </w:r>
      <w:proofErr w:type="spellStart"/>
      <w:r w:rsidR="000C341D" w:rsidRPr="00C34BB1">
        <w:rPr>
          <w:sz w:val="32"/>
          <w:szCs w:val="32"/>
        </w:rPr>
        <w:t>Lenina</w:t>
      </w:r>
      <w:proofErr w:type="spellEnd"/>
      <w:r w:rsidR="000C341D" w:rsidRPr="00C34BB1">
        <w:rPr>
          <w:sz w:val="32"/>
          <w:szCs w:val="32"/>
        </w:rPr>
        <w:t xml:space="preserve">, Tomsk, 634050, Russia </w:t>
      </w:r>
      <w:r w:rsidR="000C341D" w:rsidRPr="00C34BB1">
        <w:rPr>
          <w:sz w:val="32"/>
          <w:szCs w:val="32"/>
        </w:rPr>
        <w:br/>
      </w:r>
      <w:r w:rsidRPr="00C34BB1">
        <w:rPr>
          <w:i w:val="0"/>
          <w:iCs/>
          <w:sz w:val="32"/>
          <w:szCs w:val="32"/>
          <w:vertAlign w:val="superscript"/>
        </w:rPr>
        <w:t>3</w:t>
      </w:r>
      <w:r w:rsidR="000C341D" w:rsidRPr="00C34BB1">
        <w:rPr>
          <w:sz w:val="32"/>
          <w:szCs w:val="32"/>
        </w:rPr>
        <w:t>Tomsk State University of Architecture and Building,</w:t>
      </w:r>
      <w:r w:rsidR="00637A67" w:rsidRPr="00C34BB1">
        <w:rPr>
          <w:sz w:val="32"/>
          <w:szCs w:val="32"/>
        </w:rPr>
        <w:t xml:space="preserve"> </w:t>
      </w:r>
      <w:r w:rsidR="000C341D" w:rsidRPr="00C34BB1">
        <w:rPr>
          <w:sz w:val="32"/>
          <w:szCs w:val="32"/>
        </w:rPr>
        <w:t xml:space="preserve">2, sq. </w:t>
      </w:r>
      <w:proofErr w:type="spellStart"/>
      <w:r w:rsidR="000C341D" w:rsidRPr="00C34BB1">
        <w:rPr>
          <w:sz w:val="32"/>
          <w:szCs w:val="32"/>
        </w:rPr>
        <w:t>Solyanaya</w:t>
      </w:r>
      <w:proofErr w:type="spellEnd"/>
      <w:r w:rsidR="000C341D" w:rsidRPr="00C34BB1">
        <w:rPr>
          <w:sz w:val="32"/>
          <w:szCs w:val="32"/>
        </w:rPr>
        <w:t>, Tomsk, 634003, Russia</w:t>
      </w:r>
    </w:p>
    <w:p w:rsidR="003A5C85" w:rsidRPr="00C34BB1" w:rsidRDefault="003A5C85" w:rsidP="003A5C85">
      <w:pPr>
        <w:pStyle w:val="AuthorEmail"/>
        <w:rPr>
          <w:sz w:val="32"/>
          <w:szCs w:val="32"/>
        </w:rPr>
      </w:pPr>
      <w:r w:rsidRPr="00C34BB1">
        <w:rPr>
          <w:sz w:val="32"/>
          <w:szCs w:val="32"/>
        </w:rPr>
        <w:br/>
      </w:r>
      <w:proofErr w:type="gramStart"/>
      <w:r w:rsidR="00BE5FD1" w:rsidRPr="00C34BB1">
        <w:rPr>
          <w:sz w:val="32"/>
          <w:szCs w:val="32"/>
          <w:vertAlign w:val="superscript"/>
        </w:rPr>
        <w:t>a)</w:t>
      </w:r>
      <w:proofErr w:type="gramEnd"/>
      <w:r w:rsidR="00BE5FD1" w:rsidRPr="00C34BB1">
        <w:rPr>
          <w:sz w:val="32"/>
          <w:szCs w:val="32"/>
        </w:rPr>
        <w:t>Corresponding</w:t>
      </w:r>
      <w:r w:rsidR="004E3CB2" w:rsidRPr="00C34BB1">
        <w:rPr>
          <w:sz w:val="32"/>
          <w:szCs w:val="32"/>
        </w:rPr>
        <w:t xml:space="preserve"> author: </w:t>
      </w:r>
      <w:r w:rsidR="000C341D" w:rsidRPr="00C34BB1">
        <w:rPr>
          <w:sz w:val="32"/>
          <w:szCs w:val="32"/>
        </w:rPr>
        <w:t>asmolin@ispms.ru</w:t>
      </w:r>
      <w:r w:rsidR="001D469C" w:rsidRPr="00C34BB1">
        <w:rPr>
          <w:i/>
          <w:sz w:val="32"/>
          <w:szCs w:val="32"/>
        </w:rPr>
        <w:br/>
      </w:r>
      <w:r w:rsidRPr="00C34BB1">
        <w:rPr>
          <w:sz w:val="32"/>
          <w:szCs w:val="32"/>
          <w:vertAlign w:val="superscript"/>
        </w:rPr>
        <w:t>b)</w:t>
      </w:r>
      <w:r w:rsidR="00C9773D" w:rsidRPr="00C34BB1">
        <w:rPr>
          <w:sz w:val="32"/>
          <w:szCs w:val="32"/>
        </w:rPr>
        <w:t>saa</w:t>
      </w:r>
      <w:r w:rsidRPr="00C34BB1">
        <w:rPr>
          <w:sz w:val="32"/>
          <w:szCs w:val="32"/>
        </w:rPr>
        <w:t>@</w:t>
      </w:r>
      <w:r w:rsidR="00C9773D" w:rsidRPr="00C34BB1">
        <w:rPr>
          <w:sz w:val="32"/>
          <w:szCs w:val="32"/>
        </w:rPr>
        <w:t>ispms.ru</w:t>
      </w:r>
      <w:r w:rsidRPr="00C34BB1">
        <w:rPr>
          <w:sz w:val="32"/>
          <w:szCs w:val="32"/>
        </w:rPr>
        <w:br/>
      </w:r>
      <w:r w:rsidR="00DD096B" w:rsidRPr="00C34BB1">
        <w:rPr>
          <w:sz w:val="32"/>
          <w:szCs w:val="32"/>
          <w:vertAlign w:val="superscript"/>
        </w:rPr>
        <w:t>c)</w:t>
      </w:r>
      <w:r w:rsidR="00DD096B" w:rsidRPr="00C34BB1">
        <w:rPr>
          <w:sz w:val="32"/>
          <w:szCs w:val="32"/>
        </w:rPr>
        <w:t xml:space="preserve">smolina_i_yu@mail.ru </w:t>
      </w:r>
    </w:p>
    <w:p w:rsidR="00C34BB1" w:rsidRDefault="00C34BB1" w:rsidP="00B1000D">
      <w:pPr>
        <w:pStyle w:val="1"/>
      </w:pPr>
    </w:p>
    <w:p w:rsidR="003A287B" w:rsidRPr="00075EA6" w:rsidRDefault="00DD096B" w:rsidP="00B1000D">
      <w:pPr>
        <w:pStyle w:val="1"/>
        <w:rPr>
          <w:b w:val="0"/>
          <w:caps w:val="0"/>
          <w:sz w:val="20"/>
        </w:rPr>
      </w:pPr>
      <w:r w:rsidRPr="00DD096B">
        <w:t>INTRODUCTION</w:t>
      </w:r>
    </w:p>
    <w:p w:rsidR="00B1000D" w:rsidRDefault="001102BC" w:rsidP="00C34BB1">
      <w:pPr>
        <w:pStyle w:val="Paragraph"/>
      </w:pPr>
      <w:r w:rsidRPr="00F65047">
        <w:t xml:space="preserve">Modern technologies of </w:t>
      </w:r>
      <w:r w:rsidR="00915122" w:rsidRPr="00F65047">
        <w:t xml:space="preserve">additive manufacturing make it possible to produce a material with very complex internal structure. </w:t>
      </w:r>
      <w:r w:rsidR="00080049" w:rsidRPr="00F65047">
        <w:t xml:space="preserve">The main structure elements </w:t>
      </w:r>
      <w:r w:rsidR="00080049" w:rsidRPr="00C34BB1">
        <w:t>for</w:t>
      </w:r>
      <w:r w:rsidR="00080049" w:rsidRPr="00F65047">
        <w:t xml:space="preserve"> ceramic materials are their grains and pores. It is </w:t>
      </w:r>
      <w:r w:rsidR="00447991" w:rsidRPr="00F65047">
        <w:t>well known</w:t>
      </w:r>
      <w:r w:rsidR="00080049" w:rsidRPr="00F65047">
        <w:t xml:space="preserve"> that porosity (volume fraction of pores) and pore structure</w:t>
      </w:r>
      <w:r w:rsidR="00447991" w:rsidRPr="00F65047">
        <w:t xml:space="preserve"> (pore size, shape, curvature, interconnection etc.)</w:t>
      </w:r>
      <w:r w:rsidR="00080049" w:rsidRPr="00F65047">
        <w:t xml:space="preserve"> are the main </w:t>
      </w:r>
      <w:r w:rsidR="00535852" w:rsidRPr="00F65047">
        <w:t xml:space="preserve">characteristics that determine </w:t>
      </w:r>
      <w:r w:rsidR="00447991" w:rsidRPr="00F65047">
        <w:t xml:space="preserve">the </w:t>
      </w:r>
      <w:r w:rsidR="00535852" w:rsidRPr="00F65047">
        <w:t xml:space="preserve">physical and mechanical properties </w:t>
      </w:r>
      <w:r w:rsidR="00447991" w:rsidRPr="00F65047">
        <w:t>of ceramics.</w:t>
      </w:r>
      <w:r w:rsidR="00080049" w:rsidRPr="00F65047">
        <w:t xml:space="preserve"> </w:t>
      </w:r>
      <w:r w:rsidR="00447991" w:rsidRPr="00F65047">
        <w:t xml:space="preserve">In order to predict the </w:t>
      </w:r>
      <w:r w:rsidR="00447991" w:rsidRPr="00F65047">
        <w:lastRenderedPageBreak/>
        <w:t>material properties based on its st</w:t>
      </w:r>
      <w:r w:rsidR="00BF62C1" w:rsidRPr="00F65047">
        <w:t>r</w:t>
      </w:r>
      <w:r w:rsidR="00447991" w:rsidRPr="00F65047">
        <w:t>ucture</w:t>
      </w:r>
      <w:r w:rsidR="00AE5959">
        <w:t>,</w:t>
      </w:r>
      <w:r w:rsidR="00447991" w:rsidRPr="00F65047">
        <w:t xml:space="preserve"> </w:t>
      </w:r>
      <w:r w:rsidR="001734F3" w:rsidRPr="00F65047">
        <w:t xml:space="preserve">a number of the </w:t>
      </w:r>
      <w:r w:rsidR="00D73529" w:rsidRPr="00F65047">
        <w:t>analytical approaches have been proposed</w:t>
      </w:r>
      <w:r w:rsidR="00447991" w:rsidRPr="00F65047">
        <w:t xml:space="preserve"> </w:t>
      </w:r>
      <w:r w:rsidR="00D73529" w:rsidRPr="00F65047">
        <w:t>[</w:t>
      </w:r>
      <w:proofErr w:type="gramStart"/>
      <w:r w:rsidR="001A66FC" w:rsidRPr="00F65047">
        <w:t>1</w:t>
      </w:r>
      <w:proofErr w:type="gramEnd"/>
      <w:r w:rsidR="001734F3" w:rsidRPr="00F65047">
        <w:t>]. However, these approaches allow predicting only elastic, thermal, and electromagnetic properties of the material. Regarding the strength, the capability of these approaches is limited to the periodic structure materials</w:t>
      </w:r>
      <w:r w:rsidR="00E81114" w:rsidRPr="00F65047">
        <w:t xml:space="preserve"> only</w:t>
      </w:r>
      <w:r w:rsidR="001734F3" w:rsidRPr="00F65047">
        <w:t xml:space="preserve">. At the </w:t>
      </w:r>
      <w:proofErr w:type="gramStart"/>
      <w:r w:rsidR="001734F3" w:rsidRPr="00F65047">
        <w:t>same</w:t>
      </w:r>
      <w:proofErr w:type="gramEnd"/>
      <w:r w:rsidR="001734F3" w:rsidRPr="00F65047">
        <w:t xml:space="preserve"> time, novel computational techniques allow correct simulation of the material behavior from atomic up to </w:t>
      </w:r>
      <w:proofErr w:type="spellStart"/>
      <w:r w:rsidR="001734F3" w:rsidRPr="00F65047">
        <w:t>macroscale</w:t>
      </w:r>
      <w:proofErr w:type="spellEnd"/>
      <w:r w:rsidR="001734F3" w:rsidRPr="00F65047">
        <w:t xml:space="preserve">. Taking into account all the aspects mentioned above, </w:t>
      </w:r>
      <w:r w:rsidR="001A66FC" w:rsidRPr="00F65047">
        <w:t>one</w:t>
      </w:r>
      <w:r w:rsidR="001734F3" w:rsidRPr="00F65047">
        <w:t xml:space="preserve"> </w:t>
      </w:r>
      <w:r w:rsidR="0000225F" w:rsidRPr="00F65047">
        <w:t>might</w:t>
      </w:r>
      <w:r w:rsidR="001734F3" w:rsidRPr="00F65047">
        <w:t xml:space="preserve"> conclude that for predicting the properties of the advanced ceramics it is promising to use computer simulation [</w:t>
      </w:r>
      <w:r w:rsidR="00E808E4" w:rsidRPr="00F65047">
        <w:t>2–</w:t>
      </w:r>
      <w:r w:rsidR="00F65047" w:rsidRPr="00F65047">
        <w:t>9</w:t>
      </w:r>
      <w:r w:rsidR="001734F3" w:rsidRPr="00F65047">
        <w:t>].</w:t>
      </w:r>
    </w:p>
    <w:p w:rsidR="001734F3" w:rsidRDefault="001734F3" w:rsidP="001734F3">
      <w:pPr>
        <w:pStyle w:val="1"/>
      </w:pPr>
      <w:r w:rsidRPr="008922A6">
        <w:t>DESCRIPTION OF THE MODEL</w:t>
      </w:r>
    </w:p>
    <w:p w:rsidR="001734F3" w:rsidRPr="00F65047" w:rsidRDefault="001734F3" w:rsidP="001734F3">
      <w:pPr>
        <w:pStyle w:val="Paragraph"/>
      </w:pPr>
      <w:r w:rsidRPr="00F65047">
        <w:t>At present,</w:t>
      </w:r>
      <w:r w:rsidR="00252149" w:rsidRPr="00F65047">
        <w:t xml:space="preserve"> finite element analysis, which is based on numerical solving the equations </w:t>
      </w:r>
      <w:r w:rsidRPr="00F65047">
        <w:t>of continuum mechanics</w:t>
      </w:r>
      <w:r w:rsidR="00252149" w:rsidRPr="00F65047">
        <w:t>,</w:t>
      </w:r>
      <w:r w:rsidRPr="00F65047">
        <w:t xml:space="preserve"> </w:t>
      </w:r>
      <w:r w:rsidR="00252149" w:rsidRPr="00F65047">
        <w:t>is</w:t>
      </w:r>
      <w:r w:rsidRPr="00F65047">
        <w:t xml:space="preserve"> mainly used for simulating the mechanical behavior of materials at </w:t>
      </w:r>
      <w:proofErr w:type="spellStart"/>
      <w:r w:rsidRPr="00F65047">
        <w:t>meso</w:t>
      </w:r>
      <w:proofErr w:type="spellEnd"/>
      <w:r w:rsidRPr="00F65047">
        <w:t xml:space="preserve"> and </w:t>
      </w:r>
      <w:proofErr w:type="spellStart"/>
      <w:r w:rsidRPr="00F65047">
        <w:t>macroscale</w:t>
      </w:r>
      <w:proofErr w:type="spellEnd"/>
      <w:r w:rsidRPr="00F65047">
        <w:t xml:space="preserve"> [</w:t>
      </w:r>
      <w:r w:rsidR="00F65047" w:rsidRPr="00F65047">
        <w:t>8</w:t>
      </w:r>
      <w:r w:rsidRPr="00F65047">
        <w:t>,</w:t>
      </w:r>
      <w:r w:rsidR="00E808E4" w:rsidRPr="00F65047">
        <w:t xml:space="preserve"> </w:t>
      </w:r>
      <w:r w:rsidR="00F65047" w:rsidRPr="00F65047">
        <w:t>9</w:t>
      </w:r>
      <w:r w:rsidRPr="00F65047">
        <w:t>]. However, recently methods based on the discrete representation of material have been successfully developed and widely used [</w:t>
      </w:r>
      <w:r w:rsidR="00E808E4" w:rsidRPr="00F65047">
        <w:t>2</w:t>
      </w:r>
      <w:r w:rsidRPr="00F65047">
        <w:t>–</w:t>
      </w:r>
      <w:r w:rsidR="00F65047" w:rsidRPr="00F65047">
        <w:t>7</w:t>
      </w:r>
      <w:r w:rsidRPr="00F65047">
        <w:t xml:space="preserve">]. One of them is the method of movable cellular automata (MCA), which assumes that the material consists of a set of elementary objects (automata), interacting with the forces determined in accordance with the rules of many-particle approach. MCA allows one to simulate </w:t>
      </w:r>
      <w:r w:rsidR="00252149" w:rsidRPr="00F65047">
        <w:t xml:space="preserve">all the aspects of </w:t>
      </w:r>
      <w:r w:rsidR="00AE5959">
        <w:t xml:space="preserve">the </w:t>
      </w:r>
      <w:r w:rsidRPr="00F65047">
        <w:t>mechanical behavior of a solid at different scales, including deformation, initiation, and propagation of damages, fracture and further interaction of fragments after failure [6</w:t>
      </w:r>
      <w:r w:rsidR="00F65047" w:rsidRPr="00F65047">
        <w:t>, 7</w:t>
      </w:r>
      <w:r w:rsidRPr="00F65047">
        <w:t xml:space="preserve">]. An automaton motion is governed by the Newton-Euler equations. The forces acting on automata are calculated using deformation parameters, i.e. relative overlap, tangential </w:t>
      </w:r>
      <w:r w:rsidR="0000225F" w:rsidRPr="00F65047">
        <w:t>displacement,</w:t>
      </w:r>
      <w:r w:rsidRPr="00F65047">
        <w:t xml:space="preserve"> and rotation, and conventional elastic properties of the material, i.e. shear and bulk moduli. A distinguishing feature of the method is calculating of forces acting on the automata within the framework of multi-particle interaction, which among other advantages provides for an isotropic behavior of the simulated medium. </w:t>
      </w:r>
    </w:p>
    <w:p w:rsidR="001734F3" w:rsidRPr="00F65047" w:rsidRDefault="001734F3" w:rsidP="001734F3">
      <w:pPr>
        <w:pStyle w:val="Paragraph"/>
      </w:pPr>
      <w:r w:rsidRPr="00F65047">
        <w:t xml:space="preserve">A pair of the elements may be considered as a virtual bistable automaton </w:t>
      </w:r>
      <w:r w:rsidR="00F43358" w:rsidRPr="00F65047">
        <w:t xml:space="preserve">that can be in one of </w:t>
      </w:r>
      <w:r w:rsidRPr="00F65047">
        <w:t xml:space="preserve">two stable states (bonded and </w:t>
      </w:r>
      <w:proofErr w:type="spellStart"/>
      <w:r w:rsidRPr="00F65047">
        <w:t>unbonded</w:t>
      </w:r>
      <w:proofErr w:type="spellEnd"/>
      <w:r w:rsidRPr="00F65047">
        <w:t>), which permits simulation of fracture and coupling of fragments (or crack healing) by MCA. These capabilities are realized by means of the corresponding change of the state of the pair of automata. A fracture criterion used in simulation essentially depends on the physical mechanisms of material deformation. An important advantage of the MCA formalism is that it makes possible direct application of conventional fracture criteria (Huber-</w:t>
      </w:r>
      <w:proofErr w:type="spellStart"/>
      <w:r w:rsidRPr="00F65047">
        <w:t>Mises</w:t>
      </w:r>
      <w:proofErr w:type="spellEnd"/>
      <w:r w:rsidRPr="00F65047">
        <w:t xml:space="preserve">, </w:t>
      </w:r>
      <w:proofErr w:type="spellStart"/>
      <w:r w:rsidRPr="00F65047">
        <w:t>Drucker-Prager</w:t>
      </w:r>
      <w:proofErr w:type="spellEnd"/>
      <w:r w:rsidRPr="00F65047">
        <w:t>, Mohr-Coulomb, etc.), which are written in the tensor form [</w:t>
      </w:r>
      <w:r w:rsidR="00F65047" w:rsidRPr="00F65047">
        <w:t>7</w:t>
      </w:r>
      <w:r w:rsidRPr="00F65047">
        <w:t>].</w:t>
      </w:r>
    </w:p>
    <w:p w:rsidR="009F200F" w:rsidRDefault="002A4312" w:rsidP="001734F3">
      <w:pPr>
        <w:pStyle w:val="Paragraph"/>
      </w:pPr>
      <w:r w:rsidRPr="00F65047">
        <w:lastRenderedPageBreak/>
        <w:t xml:space="preserve">A number of previously published studies </w:t>
      </w:r>
      <w:r w:rsidR="003E44DD" w:rsidRPr="00F65047">
        <w:t xml:space="preserve">have </w:t>
      </w:r>
      <w:r w:rsidRPr="00F65047">
        <w:t xml:space="preserve">proved that MCA is very promising for modeling fracture of ceramics. </w:t>
      </w:r>
      <w:proofErr w:type="spellStart"/>
      <w:r w:rsidRPr="00F65047">
        <w:t>Aniszewska</w:t>
      </w:r>
      <w:proofErr w:type="spellEnd"/>
      <w:r w:rsidR="00FC0580" w:rsidRPr="00F65047">
        <w:t xml:space="preserve"> et al.</w:t>
      </w:r>
      <w:r w:rsidRPr="00F65047">
        <w:t xml:space="preserve"> </w:t>
      </w:r>
      <w:r w:rsidR="003E44DD" w:rsidRPr="00F65047">
        <w:t xml:space="preserve">showed that </w:t>
      </w:r>
      <w:r w:rsidR="001D6DC9" w:rsidRPr="00F65047">
        <w:t xml:space="preserve">this method allows correct simulation of strength and </w:t>
      </w:r>
      <w:r w:rsidR="00271998" w:rsidRPr="00F65047">
        <w:t>its</w:t>
      </w:r>
      <w:r w:rsidR="001D6DC9" w:rsidRPr="00F65047">
        <w:t xml:space="preserve"> uncertainty of ceramics </w:t>
      </w:r>
      <w:proofErr w:type="spellStart"/>
      <w:r w:rsidR="001D6DC9" w:rsidRPr="00F65047">
        <w:t>macro</w:t>
      </w:r>
      <w:r w:rsidR="000F4B91" w:rsidRPr="00F65047">
        <w:t>specimen</w:t>
      </w:r>
      <w:r w:rsidR="001D6DC9" w:rsidRPr="00F65047">
        <w:t>s</w:t>
      </w:r>
      <w:proofErr w:type="spellEnd"/>
      <w:r w:rsidR="001D6DC9" w:rsidRPr="00F65047">
        <w:t xml:space="preserve"> of different porosity both in compression and torsion [</w:t>
      </w:r>
      <w:r w:rsidR="00F65047" w:rsidRPr="00F65047">
        <w:t>2</w:t>
      </w:r>
      <w:r w:rsidR="001D6DC9" w:rsidRPr="00F65047">
        <w:t xml:space="preserve">, </w:t>
      </w:r>
      <w:r w:rsidR="00F65047" w:rsidRPr="00F65047">
        <w:t>3</w:t>
      </w:r>
      <w:r w:rsidR="001D6DC9" w:rsidRPr="00F65047">
        <w:t xml:space="preserve">]. </w:t>
      </w:r>
      <w:proofErr w:type="spellStart"/>
      <w:r w:rsidR="001D6DC9" w:rsidRPr="00F65047">
        <w:t>Smolin</w:t>
      </w:r>
      <w:proofErr w:type="spellEnd"/>
      <w:r w:rsidR="00FC0580" w:rsidRPr="00F65047">
        <w:t xml:space="preserve"> et al.</w:t>
      </w:r>
      <w:r w:rsidR="001D6DC9" w:rsidRPr="00F65047">
        <w:t xml:space="preserve"> proposed to use uncertainty estimates obtained from simulation of</w:t>
      </w:r>
      <w:r w:rsidR="00252149" w:rsidRPr="00F65047">
        <w:t xml:space="preserve"> the</w:t>
      </w:r>
      <w:r w:rsidR="001D6DC9" w:rsidRPr="00F65047">
        <w:t xml:space="preserve"> model </w:t>
      </w:r>
      <w:r w:rsidR="000F4B91" w:rsidRPr="00F65047">
        <w:t>specimen</w:t>
      </w:r>
      <w:r w:rsidR="001D6DC9" w:rsidRPr="00F65047">
        <w:t xml:space="preserve">s with </w:t>
      </w:r>
      <w:r w:rsidR="00AE5959">
        <w:t xml:space="preserve">an </w:t>
      </w:r>
      <w:r w:rsidR="001D6DC9" w:rsidRPr="00F65047">
        <w:t xml:space="preserve">explicit account for pores for </w:t>
      </w:r>
      <w:proofErr w:type="spellStart"/>
      <w:r w:rsidR="001D6DC9" w:rsidRPr="00F65047">
        <w:t>multiscale</w:t>
      </w:r>
      <w:proofErr w:type="spellEnd"/>
      <w:r w:rsidR="001D6DC9" w:rsidRPr="00F65047">
        <w:t xml:space="preserve"> simulation of ceramics [</w:t>
      </w:r>
      <w:r w:rsidR="00F65047" w:rsidRPr="00F65047">
        <w:t>4, 5</w:t>
      </w:r>
      <w:r w:rsidR="001D6DC9" w:rsidRPr="00F65047">
        <w:t xml:space="preserve">]. </w:t>
      </w:r>
      <w:r w:rsidR="00FC0580" w:rsidRPr="00F65047">
        <w:t xml:space="preserve">All the </w:t>
      </w:r>
      <w:r w:rsidR="0000225F" w:rsidRPr="00F65047">
        <w:t>above-mentioned</w:t>
      </w:r>
      <w:r w:rsidR="00FC0580" w:rsidRPr="00F65047">
        <w:t xml:space="preserve"> papers dealt</w:t>
      </w:r>
      <w:r w:rsidR="001D6DC9" w:rsidRPr="00F65047">
        <w:t xml:space="preserve"> </w:t>
      </w:r>
      <w:r w:rsidR="00FC0580" w:rsidRPr="00F65047">
        <w:t xml:space="preserve">with </w:t>
      </w:r>
      <w:proofErr w:type="spellStart"/>
      <w:r w:rsidR="00FC0580" w:rsidRPr="00F65047">
        <w:t>equiaxed</w:t>
      </w:r>
      <w:proofErr w:type="spellEnd"/>
      <w:r w:rsidR="00FC0580" w:rsidRPr="00F65047">
        <w:t xml:space="preserve"> pores. </w:t>
      </w:r>
      <w:r w:rsidR="001D6DC9" w:rsidRPr="00F65047">
        <w:t xml:space="preserve">Roman </w:t>
      </w:r>
      <w:r w:rsidR="00FC0580" w:rsidRPr="00F65047">
        <w:t xml:space="preserve">studied </w:t>
      </w:r>
      <w:r w:rsidR="00252149" w:rsidRPr="00F65047">
        <w:t xml:space="preserve">the </w:t>
      </w:r>
      <w:r w:rsidR="00FC0580" w:rsidRPr="00F65047">
        <w:t xml:space="preserve">model ceramic </w:t>
      </w:r>
      <w:r w:rsidR="000F4B91" w:rsidRPr="00F65047">
        <w:t>specimen</w:t>
      </w:r>
      <w:r w:rsidR="00FC0580" w:rsidRPr="00F65047">
        <w:t xml:space="preserve">s with cylindrical pores identically oriented in space [6]. He showed that the cylindrical pores inclined at 45° with respect to compression direction </w:t>
      </w:r>
      <w:r w:rsidR="00271998" w:rsidRPr="00F65047">
        <w:t>possess</w:t>
      </w:r>
      <w:r w:rsidR="00FC0580" w:rsidRPr="00F65047">
        <w:t xml:space="preserve"> minimal strength and elastic modulus.</w:t>
      </w:r>
      <w:r w:rsidR="00271998" w:rsidRPr="00F65047">
        <w:t xml:space="preserve"> </w:t>
      </w:r>
    </w:p>
    <w:p w:rsidR="00C60B7A" w:rsidRDefault="00F83C02" w:rsidP="001734F3">
      <w:pPr>
        <w:pStyle w:val="Paragraph"/>
      </w:pPr>
      <w:r w:rsidRPr="009F200F">
        <w:t>Herein we present a model based on MCA method for 3D simulating zirconia ceramics with</w:t>
      </w:r>
      <w:r>
        <w:t xml:space="preserve"> </w:t>
      </w:r>
      <w:r w:rsidRPr="009F200F">
        <w:t>cylindrical pores</w:t>
      </w:r>
      <w:r w:rsidRPr="00271998">
        <w:t xml:space="preserve"> </w:t>
      </w:r>
      <w:r>
        <w:t>differently oriented in space</w:t>
      </w:r>
      <w:r w:rsidRPr="009F200F">
        <w:t xml:space="preserve">. </w:t>
      </w:r>
      <w:r>
        <w:t>Namely, we considered two types of porous structure of cylindrical pores. T</w:t>
      </w:r>
      <w:r w:rsidRPr="001E2BA5">
        <w:t xml:space="preserve">he </w:t>
      </w:r>
      <w:r>
        <w:t>specimen</w:t>
      </w:r>
      <w:r w:rsidRPr="001E2BA5">
        <w:t>s</w:t>
      </w:r>
      <w:r>
        <w:t xml:space="preserve"> of the first type</w:t>
      </w:r>
      <w:r w:rsidRPr="001E2BA5">
        <w:t xml:space="preserve"> </w:t>
      </w:r>
      <w:r>
        <w:t>contained</w:t>
      </w:r>
      <w:r w:rsidRPr="001E2BA5">
        <w:t xml:space="preserve"> the pores inclined at 45° with respect to</w:t>
      </w:r>
      <w:r>
        <w:t xml:space="preserve"> the</w:t>
      </w:r>
      <w:r w:rsidRPr="001E2BA5">
        <w:t xml:space="preserve"> compression direction</w:t>
      </w:r>
      <w:r>
        <w:t>,</w:t>
      </w:r>
      <w:r w:rsidRPr="001E2BA5">
        <w:t xml:space="preserve"> as show</w:t>
      </w:r>
      <w:r>
        <w:t>n in Fig. 1 i.e. when all pores have the same orientation</w:t>
      </w:r>
      <w:r w:rsidRPr="001E2BA5">
        <w:t xml:space="preserve">. </w:t>
      </w:r>
      <w:r>
        <w:t>For the specimens of this type, the total porosity varied from 5 % up to 20 %.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6945"/>
      </w:tblGrid>
      <w:tr w:rsidR="00F43358" w:rsidTr="00DD7CA2">
        <w:trPr>
          <w:trHeight w:val="3599"/>
        </w:trPr>
        <w:tc>
          <w:tcPr>
            <w:tcW w:w="6771" w:type="dxa"/>
          </w:tcPr>
          <w:p w:rsidR="00F43358" w:rsidRDefault="00F43358" w:rsidP="002A4312">
            <w:pPr>
              <w:pStyle w:val="Paragraph"/>
              <w:ind w:firstLine="0"/>
              <w:jc w:val="center"/>
            </w:pPr>
            <w:bookmarkStart w:id="0" w:name="_GoBack"/>
            <w:r>
              <w:rPr>
                <w:b/>
                <w:caps/>
                <w:noProof/>
                <w:lang w:val="ru-RU" w:eastAsia="ru-RU"/>
              </w:rPr>
              <w:drawing>
                <wp:inline distT="0" distB="0" distL="0" distR="0" wp14:anchorId="22F09430" wp14:editId="0271CBD5">
                  <wp:extent cx="3712191" cy="3620915"/>
                  <wp:effectExtent l="0" t="0" r="3175" b="0"/>
                  <wp:docPr id="11" name="Рисунок 11" descr="M:\Science\Conferences\2018\Е-бург\Figs\CylPores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cience\Conferences\2018\Е-бург\Figs\CylPores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617" cy="3633035"/>
                          </a:xfrm>
                          <a:prstGeom prst="rect">
                            <a:avLst/>
                          </a:prstGeom>
                          <a:noFill/>
                          <a:ln>
                            <a:noFill/>
                          </a:ln>
                        </pic:spPr>
                      </pic:pic>
                    </a:graphicData>
                  </a:graphic>
                </wp:inline>
              </w:drawing>
            </w:r>
            <w:bookmarkEnd w:id="0"/>
          </w:p>
        </w:tc>
        <w:tc>
          <w:tcPr>
            <w:tcW w:w="6945" w:type="dxa"/>
          </w:tcPr>
          <w:p w:rsidR="00F43358" w:rsidRDefault="00F43358" w:rsidP="002A4312">
            <w:pPr>
              <w:pStyle w:val="Paragraph"/>
              <w:ind w:firstLine="0"/>
              <w:jc w:val="center"/>
            </w:pPr>
            <w:r>
              <w:rPr>
                <w:b/>
                <w:caps/>
                <w:noProof/>
                <w:lang w:val="ru-RU" w:eastAsia="ru-RU"/>
              </w:rPr>
              <w:drawing>
                <wp:inline distT="0" distB="0" distL="0" distR="0" wp14:anchorId="62A56E69" wp14:editId="7F89AFA6">
                  <wp:extent cx="3536503" cy="3457978"/>
                  <wp:effectExtent l="0" t="0" r="6985" b="9525"/>
                  <wp:docPr id="12" name="Рисунок 12" descr="M:\Science\Conferences\2018\Е-бург\Figs\CylPores45CrossS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cience\Conferences\2018\Е-бург\Figs\CylPores45CrossSec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5231" cy="3466512"/>
                          </a:xfrm>
                          <a:prstGeom prst="rect">
                            <a:avLst/>
                          </a:prstGeom>
                          <a:noFill/>
                          <a:ln>
                            <a:noFill/>
                          </a:ln>
                        </pic:spPr>
                      </pic:pic>
                    </a:graphicData>
                  </a:graphic>
                </wp:inline>
              </w:drawing>
            </w:r>
          </w:p>
        </w:tc>
      </w:tr>
      <w:tr w:rsidR="00F43358" w:rsidTr="00DD7CA2">
        <w:trPr>
          <w:trHeight w:val="352"/>
        </w:trPr>
        <w:tc>
          <w:tcPr>
            <w:tcW w:w="6771" w:type="dxa"/>
          </w:tcPr>
          <w:p w:rsidR="00F43358" w:rsidRDefault="00F43358" w:rsidP="002A4312">
            <w:pPr>
              <w:pStyle w:val="Paragraph"/>
              <w:ind w:firstLine="0"/>
              <w:jc w:val="center"/>
            </w:pPr>
            <w:r>
              <w:t>(a)</w:t>
            </w:r>
          </w:p>
        </w:tc>
        <w:tc>
          <w:tcPr>
            <w:tcW w:w="6945" w:type="dxa"/>
          </w:tcPr>
          <w:p w:rsidR="00F43358" w:rsidRDefault="00F43358" w:rsidP="002A4312">
            <w:pPr>
              <w:pStyle w:val="Paragraph"/>
              <w:ind w:firstLine="0"/>
              <w:jc w:val="center"/>
            </w:pPr>
            <w:r>
              <w:t>(b)</w:t>
            </w:r>
          </w:p>
        </w:tc>
      </w:tr>
      <w:tr w:rsidR="00462D33" w:rsidTr="00AE3378">
        <w:trPr>
          <w:trHeight w:val="3599"/>
        </w:trPr>
        <w:tc>
          <w:tcPr>
            <w:tcW w:w="13716" w:type="dxa"/>
            <w:gridSpan w:val="2"/>
          </w:tcPr>
          <w:p w:rsidR="00462D33" w:rsidRDefault="00462D33" w:rsidP="00AE3378">
            <w:pPr>
              <w:pStyle w:val="Paragraph"/>
              <w:ind w:firstLine="0"/>
              <w:jc w:val="center"/>
            </w:pPr>
            <w:r>
              <w:rPr>
                <w:b/>
                <w:caps/>
                <w:noProof/>
                <w:lang w:val="ru-RU" w:eastAsia="ru-RU"/>
              </w:rPr>
              <w:drawing>
                <wp:inline distT="0" distB="0" distL="0" distR="0">
                  <wp:extent cx="4763069" cy="3802126"/>
                  <wp:effectExtent l="0" t="0" r="0" b="8255"/>
                  <wp:docPr id="5" name="Рисунок 5" descr="M:\Science\Conferences\2018\Е-бург\Figs\CylPores45RndZ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cience\Conferences\2018\Е-бург\Figs\CylPores45RndZ18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3195" cy="3802226"/>
                          </a:xfrm>
                          <a:prstGeom prst="rect">
                            <a:avLst/>
                          </a:prstGeom>
                          <a:noFill/>
                          <a:ln>
                            <a:noFill/>
                          </a:ln>
                        </pic:spPr>
                      </pic:pic>
                    </a:graphicData>
                  </a:graphic>
                </wp:inline>
              </w:drawing>
            </w:r>
          </w:p>
        </w:tc>
      </w:tr>
      <w:tr w:rsidR="00462D33" w:rsidTr="00AE3378">
        <w:trPr>
          <w:trHeight w:val="352"/>
        </w:trPr>
        <w:tc>
          <w:tcPr>
            <w:tcW w:w="13716" w:type="dxa"/>
            <w:gridSpan w:val="2"/>
          </w:tcPr>
          <w:p w:rsidR="00462D33" w:rsidRDefault="00462D33" w:rsidP="00AE3378">
            <w:pPr>
              <w:pStyle w:val="Paragraph"/>
              <w:ind w:firstLine="0"/>
              <w:jc w:val="center"/>
            </w:pPr>
            <w:r>
              <w:t>(c)</w:t>
            </w:r>
          </w:p>
        </w:tc>
      </w:tr>
    </w:tbl>
    <w:p w:rsidR="00462D33" w:rsidRPr="00574405" w:rsidRDefault="00462D33" w:rsidP="00462D33">
      <w:pPr>
        <w:pStyle w:val="FigureCaption"/>
        <w:rPr>
          <w:sz w:val="20"/>
        </w:rPr>
      </w:pPr>
      <w:proofErr w:type="gramStart"/>
      <w:r>
        <w:rPr>
          <w:b/>
          <w:caps/>
        </w:rPr>
        <w:t>Figure 1.</w:t>
      </w:r>
      <w:proofErr w:type="gramEnd"/>
      <w:r>
        <w:t xml:space="preserve"> (a) Schematic of unidirectional cylindrical pores placed in a cubic specimen; (b) cross-section of the corresponding modeled specimen filled by </w:t>
      </w:r>
      <w:proofErr w:type="spellStart"/>
      <w:r>
        <w:t>fcc</w:t>
      </w:r>
      <w:proofErr w:type="spellEnd"/>
      <w:r>
        <w:t xml:space="preserve">-packed cellular automata; (c) schematic of the randomly oriented pores </w:t>
      </w:r>
    </w:p>
    <w:p w:rsidR="00462D33" w:rsidRDefault="00462D33" w:rsidP="00166BAC">
      <w:pPr>
        <w:pStyle w:val="Paragraph"/>
      </w:pPr>
    </w:p>
    <w:p w:rsidR="00F83C02" w:rsidRDefault="00F83C02" w:rsidP="00F83C02">
      <w:pPr>
        <w:pStyle w:val="Paragraph"/>
        <w:rPr>
          <w:lang w:val="en-GB" w:eastAsia="en-GB"/>
        </w:rPr>
      </w:pPr>
      <w:r>
        <w:rPr>
          <w:lang w:val="en-GB" w:eastAsia="en-GB"/>
        </w:rPr>
        <w:t xml:space="preserve">The second type of porous structure was obtained by random rotation of the initial pores shown in Fig. 1 about axis </w:t>
      </w:r>
      <w:r w:rsidRPr="006D317D">
        <w:rPr>
          <w:i/>
          <w:lang w:val="en-GB" w:eastAsia="en-GB"/>
        </w:rPr>
        <w:t>Z</w:t>
      </w:r>
      <w:r>
        <w:rPr>
          <w:lang w:val="en-GB" w:eastAsia="en-GB"/>
        </w:rPr>
        <w:t xml:space="preserve">. To avoid merging of the pores we varied fraction of this type of pores from 5 % to 11 % because it is difficult to manage close packing of randomly oriented cylinders. </w:t>
      </w:r>
    </w:p>
    <w:p w:rsidR="00166BAC" w:rsidRDefault="00166BAC" w:rsidP="00166BAC">
      <w:pPr>
        <w:pStyle w:val="Paragraph"/>
      </w:pPr>
      <w:r w:rsidRPr="001E2BA5">
        <w:t xml:space="preserve">The pore diameter was equal to 100 </w:t>
      </w:r>
      <w:proofErr w:type="spellStart"/>
      <w:r w:rsidRPr="001E2BA5">
        <w:t>μm</w:t>
      </w:r>
      <w:proofErr w:type="spellEnd"/>
      <w:r w:rsidRPr="001E2BA5">
        <w:t xml:space="preserve">, the height 300 </w:t>
      </w:r>
      <w:proofErr w:type="spellStart"/>
      <w:r w:rsidRPr="001E2BA5">
        <w:t>μm</w:t>
      </w:r>
      <w:proofErr w:type="spellEnd"/>
      <w:r w:rsidRPr="001E2BA5">
        <w:t xml:space="preserve">. The automaton size was equal to 50 </w:t>
      </w:r>
      <w:proofErr w:type="spellStart"/>
      <w:r w:rsidRPr="001E2BA5">
        <w:t>μm</w:t>
      </w:r>
      <w:proofErr w:type="spellEnd"/>
      <w:r w:rsidRPr="001E2BA5">
        <w:t xml:space="preserve">, the </w:t>
      </w:r>
      <w:r>
        <w:t>specimen</w:t>
      </w:r>
      <w:r w:rsidRPr="001E2BA5">
        <w:t xml:space="preserve"> size 3 mm. The response function of automata corresponded to the loading </w:t>
      </w:r>
      <w:r>
        <w:t>curve</w:t>
      </w:r>
      <w:r w:rsidRPr="001E2BA5">
        <w:t xml:space="preserve"> for </w:t>
      </w:r>
      <w:proofErr w:type="spellStart"/>
      <w:r w:rsidRPr="001E2BA5">
        <w:t>nanocrystalline</w:t>
      </w:r>
      <w:proofErr w:type="spellEnd"/>
      <w:r w:rsidRPr="001E2BA5">
        <w:t xml:space="preserve"> </w:t>
      </w:r>
      <w:proofErr w:type="gramStart"/>
      <w:r w:rsidRPr="001E2BA5">
        <w:t>ZrO</w:t>
      </w:r>
      <w:r w:rsidRPr="001E2BA5">
        <w:rPr>
          <w:vertAlign w:val="subscript"/>
        </w:rPr>
        <w:t>2</w:t>
      </w:r>
      <w:r w:rsidRPr="001E2BA5">
        <w:t>(</w:t>
      </w:r>
      <w:proofErr w:type="gramEnd"/>
      <w:r w:rsidRPr="001E2BA5">
        <w:t>Y</w:t>
      </w:r>
      <w:r w:rsidRPr="001E2BA5">
        <w:rPr>
          <w:vertAlign w:val="subscript"/>
        </w:rPr>
        <w:t>2</w:t>
      </w:r>
      <w:r w:rsidRPr="001E2BA5">
        <w:t>O</w:t>
      </w:r>
      <w:r w:rsidRPr="001E2BA5">
        <w:rPr>
          <w:vertAlign w:val="subscript"/>
        </w:rPr>
        <w:t>3</w:t>
      </w:r>
      <w:r w:rsidRPr="001E2BA5">
        <w:t xml:space="preserve">) with </w:t>
      </w:r>
      <w:r w:rsidR="00AE5959">
        <w:t xml:space="preserve">a </w:t>
      </w:r>
      <w:r w:rsidRPr="001E2BA5">
        <w:t xml:space="preserve">total porosity of 2% </w:t>
      </w:r>
      <w:r w:rsidRPr="00F65047">
        <w:t>[</w:t>
      </w:r>
      <w:r w:rsidR="00F65047" w:rsidRPr="00F65047">
        <w:t>5</w:t>
      </w:r>
      <w:r w:rsidRPr="00F65047">
        <w:t>]</w:t>
      </w:r>
      <w:r w:rsidRPr="001E2BA5">
        <w:t xml:space="preserve">. Inter-automaton bond rupture criterion used in calculations was formulated as a threshold value for equivalent shear stress. </w:t>
      </w:r>
    </w:p>
    <w:p w:rsidR="00B04DDB" w:rsidRPr="00B83B14" w:rsidRDefault="00B04DDB" w:rsidP="00B04DDB">
      <w:pPr>
        <w:pStyle w:val="Paragraph"/>
      </w:pPr>
      <w:r>
        <w:t>For each porosity value</w:t>
      </w:r>
      <w:r w:rsidR="00AE5959">
        <w:t>,</w:t>
      </w:r>
      <w:r>
        <w:t xml:space="preserve"> t</w:t>
      </w:r>
      <w:r w:rsidRPr="00FE75B0">
        <w:t>here were considered five representative specimens with pores of the same size</w:t>
      </w:r>
      <w:r>
        <w:t xml:space="preserve"> and orientation</w:t>
      </w:r>
      <w:r w:rsidRPr="00FE75B0">
        <w:t xml:space="preserve"> but with the unique position in space. </w:t>
      </w:r>
      <w:r w:rsidRPr="00166BAC">
        <w:t xml:space="preserve">We simulate uniaxial compression (along axis </w:t>
      </w:r>
      <w:r w:rsidRPr="00166BAC">
        <w:rPr>
          <w:i/>
        </w:rPr>
        <w:t>Z</w:t>
      </w:r>
      <w:r w:rsidRPr="00166BAC">
        <w:t xml:space="preserve">) of these specimens. </w:t>
      </w:r>
      <w:r w:rsidRPr="00FE75B0">
        <w:t>Using the loading curve</w:t>
      </w:r>
      <w:r>
        <w:t xml:space="preserve"> obtained from the simulation,</w:t>
      </w:r>
      <w:r w:rsidRPr="00FE75B0">
        <w:t xml:space="preserve"> the elastic modulus in compression (the slope of the linear part of the curve) and the compression strength (its maximum value) were determined for each specimen. The Poisson’s ratios along axis </w:t>
      </w:r>
      <w:r w:rsidRPr="00FE75B0">
        <w:rPr>
          <w:i/>
        </w:rPr>
        <w:t>X</w:t>
      </w:r>
      <w:r w:rsidRPr="00FE75B0">
        <w:t xml:space="preserve"> and </w:t>
      </w:r>
      <w:r w:rsidRPr="00FE75B0">
        <w:rPr>
          <w:i/>
        </w:rPr>
        <w:t>Y</w:t>
      </w:r>
      <w:r w:rsidRPr="00FE75B0">
        <w:t xml:space="preserve"> were determined by the displacement of four gauge automata positioned at outside planes</w:t>
      </w:r>
      <w:r>
        <w:t xml:space="preserve"> of the specimen</w:t>
      </w:r>
      <w:r w:rsidRPr="00FE75B0">
        <w:t xml:space="preserve"> along </w:t>
      </w:r>
      <w:r>
        <w:t>the corresponding</w:t>
      </w:r>
      <w:r w:rsidRPr="00FE75B0">
        <w:t xml:space="preserve"> ax</w:t>
      </w:r>
      <w:r>
        <w:t>i</w:t>
      </w:r>
      <w:r w:rsidRPr="00FE75B0">
        <w:t xml:space="preserve">s. All these </w:t>
      </w:r>
      <w:r w:rsidRPr="00B83B14">
        <w:t xml:space="preserve">values are random variables due to random pore arrangement. As shown, for example, in </w:t>
      </w:r>
      <w:r w:rsidRPr="00F65047">
        <w:t>[1</w:t>
      </w:r>
      <w:r w:rsidR="00F65047" w:rsidRPr="00F65047">
        <w:t>0</w:t>
      </w:r>
      <w:r w:rsidRPr="00F65047">
        <w:t>]</w:t>
      </w:r>
      <w:r w:rsidRPr="00B83B14">
        <w:t xml:space="preserve"> the failure process is governed by </w:t>
      </w:r>
      <w:proofErr w:type="spellStart"/>
      <w:r w:rsidRPr="00B83B14">
        <w:t>Weibull</w:t>
      </w:r>
      <w:proofErr w:type="spellEnd"/>
      <w:r w:rsidRPr="00B83B14">
        <w:t xml:space="preserve"> distribution model, which assumes the following cumulative distribution function</w:t>
      </w:r>
    </w:p>
    <w:p w:rsidR="00B04DDB" w:rsidRPr="00B83B14" w:rsidRDefault="00B04DDB" w:rsidP="00B04DDB">
      <w:pPr>
        <w:pStyle w:val="Equation"/>
      </w:pPr>
      <w:r w:rsidRPr="00B83B14">
        <w:tab/>
      </w:r>
      <w:r w:rsidR="00C34BB1" w:rsidRPr="00B83B14">
        <w:rPr>
          <w:position w:val="-10"/>
        </w:rPr>
        <w:object w:dxaOrig="22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7pt;height:30.1pt" o:ole="">
            <v:imagedata r:id="rId10" o:title=""/>
          </v:shape>
          <o:OLEObject Type="Embed" ProgID="Equation.3" ShapeID="_x0000_i1028" DrawAspect="Content" ObjectID="_1587979412" r:id="rId11"/>
        </w:object>
      </w:r>
      <w:r w:rsidRPr="00B83B14">
        <w:tab/>
        <w:t>(1)</w:t>
      </w:r>
    </w:p>
    <w:p w:rsidR="00B04DDB" w:rsidRPr="00075EA6" w:rsidRDefault="00B04DDB" w:rsidP="00B04DDB">
      <w:pPr>
        <w:pStyle w:val="Paragraph"/>
        <w:ind w:firstLine="0"/>
      </w:pPr>
      <w:proofErr w:type="gramStart"/>
      <w:r w:rsidRPr="00B83B14">
        <w:t>where</w:t>
      </w:r>
      <w:proofErr w:type="gramEnd"/>
      <w:r w:rsidRPr="00B83B14">
        <w:t xml:space="preserve"> </w:t>
      </w:r>
      <w:r w:rsidRPr="00B83B14">
        <w:rPr>
          <w:i/>
        </w:rPr>
        <w:t>η</w:t>
      </w:r>
      <w:r w:rsidRPr="00B83B14">
        <w:t xml:space="preserve"> is the scale parameter, and </w:t>
      </w:r>
      <w:r w:rsidRPr="00B83B14">
        <w:rPr>
          <w:i/>
        </w:rPr>
        <w:t>β</w:t>
      </w:r>
      <w:r w:rsidRPr="00B83B14">
        <w:t xml:space="preserve"> is the shape parameter.</w:t>
      </w:r>
      <w:r w:rsidRPr="00B841EC">
        <w:t xml:space="preserve"> </w:t>
      </w:r>
      <w:r>
        <w:t xml:space="preserve">To estimate the values of </w:t>
      </w:r>
      <w:r w:rsidRPr="00B83B14">
        <w:rPr>
          <w:i/>
        </w:rPr>
        <w:t>η</w:t>
      </w:r>
      <w:r w:rsidRPr="00B83B14">
        <w:t xml:space="preserve"> and </w:t>
      </w:r>
      <w:r w:rsidRPr="00B83B14">
        <w:rPr>
          <w:i/>
        </w:rPr>
        <w:t>β</w:t>
      </w:r>
      <w:r>
        <w:t xml:space="preserve"> i</w:t>
      </w:r>
      <w:r w:rsidRPr="00E07B3C">
        <w:t xml:space="preserve">n the case of a small </w:t>
      </w:r>
      <w:r w:rsidR="0067279A">
        <w:t xml:space="preserve">random </w:t>
      </w:r>
      <w:r>
        <w:t>sample</w:t>
      </w:r>
      <w:r w:rsidRPr="00E07B3C">
        <w:t xml:space="preserve"> size, it is recommended to use the median rank regression, which is reduced to the</w:t>
      </w:r>
      <w:r w:rsidR="0067279A" w:rsidRPr="0067279A">
        <w:t xml:space="preserve"> transformation of Eq. (1) to a linear equation, and to the linear approximation</w:t>
      </w:r>
      <w:r w:rsidR="0067279A">
        <w:t xml:space="preserve"> of </w:t>
      </w:r>
      <w:r w:rsidR="0067279A" w:rsidRPr="0067279A">
        <w:t>this equation by means of simple least-square regression. In our work, we used a special package designed for the</w:t>
      </w:r>
      <w:r w:rsidR="0000225F" w:rsidRPr="0000225F">
        <w:t xml:space="preserve"> </w:t>
      </w:r>
      <w:r w:rsidR="0000225F" w:rsidRPr="0067279A">
        <w:t xml:space="preserve">statistical programming language </w:t>
      </w:r>
      <w:r w:rsidR="0000225F" w:rsidRPr="00F65047">
        <w:rPr>
          <w:b/>
        </w:rPr>
        <w:t>R</w:t>
      </w:r>
      <w:r w:rsidR="0067279A" w:rsidRPr="0067279A">
        <w:t xml:space="preserve">, providing basic functionality needed to perform </w:t>
      </w:r>
      <w:proofErr w:type="spellStart"/>
      <w:r w:rsidR="0067279A" w:rsidRPr="0067279A">
        <w:t>Weibull</w:t>
      </w:r>
      <w:proofErr w:type="spellEnd"/>
      <w:r w:rsidR="0067279A" w:rsidRPr="0067279A">
        <w:t xml:space="preserve"> analysis available at [</w:t>
      </w:r>
      <w:r w:rsidR="0067279A" w:rsidRPr="00F65047">
        <w:t>1</w:t>
      </w:r>
      <w:r w:rsidR="00F65047" w:rsidRPr="00F65047">
        <w:t>1</w:t>
      </w:r>
      <w:r w:rsidR="0067279A" w:rsidRPr="0067279A">
        <w:t>].</w:t>
      </w:r>
    </w:p>
    <w:p w:rsidR="00B04DDB" w:rsidRDefault="00B04DDB" w:rsidP="00B04DDB">
      <w:pPr>
        <w:pStyle w:val="Paragraph"/>
      </w:pPr>
      <w:r>
        <w:t xml:space="preserve">Knowing the parameters of the distribution function (1) for each mechanical property allows us to compute </w:t>
      </w:r>
      <w:r w:rsidR="00AE5959">
        <w:t xml:space="preserve">the </w:t>
      </w:r>
      <w:r>
        <w:t xml:space="preserve">mathematical </w:t>
      </w:r>
      <w:r w:rsidR="00EE2BF1">
        <w:t>estimate, which</w:t>
      </w:r>
      <w:r>
        <w:t xml:space="preserve"> is assumed to be an effective property for the specimen of this porosity value and pore structure.</w:t>
      </w:r>
    </w:p>
    <w:p w:rsidR="001734F3" w:rsidRPr="005C2AD3" w:rsidRDefault="001734F3" w:rsidP="001734F3">
      <w:pPr>
        <w:pStyle w:val="1"/>
      </w:pPr>
      <w:r w:rsidRPr="005C2AD3">
        <w:t>MODELING RESULTS</w:t>
      </w:r>
    </w:p>
    <w:p w:rsidR="007849FF" w:rsidRDefault="00610EE0" w:rsidP="00610EE0">
      <w:pPr>
        <w:pStyle w:val="Paragraph"/>
      </w:pPr>
      <w:r>
        <w:t>Figure 2 shows normalized Young’s modulus and compression strength versus porosity for all the porosity range used in computations</w:t>
      </w:r>
      <w:r w:rsidR="00151612">
        <w:t xml:space="preserve"> (</w:t>
      </w:r>
      <w:r w:rsidR="007849FF">
        <w:t xml:space="preserve">here </w:t>
      </w:r>
      <w:r w:rsidR="00151612" w:rsidRPr="00151612">
        <w:rPr>
          <w:i/>
        </w:rPr>
        <w:t>E</w:t>
      </w:r>
      <w:r w:rsidR="00151612" w:rsidRPr="00151612">
        <w:rPr>
          <w:vertAlign w:val="subscript"/>
        </w:rPr>
        <w:t>0</w:t>
      </w:r>
      <w:r w:rsidR="00151612">
        <w:t xml:space="preserve"> and σ</w:t>
      </w:r>
      <w:r w:rsidR="00151612" w:rsidRPr="00151612">
        <w:rPr>
          <w:vertAlign w:val="subscript"/>
        </w:rPr>
        <w:t>0</w:t>
      </w:r>
      <w:r w:rsidR="00151612">
        <w:t xml:space="preserve"> are the </w:t>
      </w:r>
      <w:r w:rsidR="007849FF">
        <w:t xml:space="preserve">values of </w:t>
      </w:r>
      <w:r w:rsidR="00151612">
        <w:t>Young’s modulus and strength limit of the compact cer</w:t>
      </w:r>
      <w:r w:rsidR="007849FF">
        <w:t>a</w:t>
      </w:r>
      <w:r w:rsidR="00151612">
        <w:t>mics)</w:t>
      </w:r>
      <w:r>
        <w:t xml:space="preserve">. As one can see </w:t>
      </w:r>
      <w:r w:rsidR="00EE010B">
        <w:t>t</w:t>
      </w:r>
      <w:r>
        <w:t xml:space="preserve">he scatter for strength value (Fig. 2, b) is much larger than for elastic modulus (Fig. 2, a). Nevertheless, </w:t>
      </w:r>
      <w:r w:rsidR="006D317D">
        <w:t>t</w:t>
      </w:r>
      <w:r>
        <w:t>he modeling results in Fig. 2 can be well approximated by</w:t>
      </w:r>
      <w:r w:rsidR="00AE5959">
        <w:t xml:space="preserve"> the</w:t>
      </w:r>
      <w:r>
        <w:t xml:space="preserve"> </w:t>
      </w:r>
      <w:r w:rsidRPr="00EE2BF1">
        <w:t>power function</w:t>
      </w:r>
    </w:p>
    <w:p w:rsidR="007849FF" w:rsidRDefault="007849FF" w:rsidP="007849FF">
      <w:pPr>
        <w:pStyle w:val="Equation"/>
      </w:pPr>
      <w:r>
        <w:tab/>
      </w:r>
      <w:r w:rsidR="00C34BB1" w:rsidRPr="007849FF">
        <w:rPr>
          <w:position w:val="-12"/>
        </w:rPr>
        <w:object w:dxaOrig="2220" w:dyaOrig="420">
          <v:shape id="_x0000_i1026" type="#_x0000_t75" style="width:171.95pt;height:32.25pt" o:ole="">
            <v:imagedata r:id="rId12" o:title=""/>
          </v:shape>
          <o:OLEObject Type="Embed" ProgID="Equation.3" ShapeID="_x0000_i1026" DrawAspect="Content" ObjectID="_1587979413" r:id="rId13"/>
        </w:object>
      </w:r>
      <w:r>
        <w:t>,</w:t>
      </w:r>
      <w:r>
        <w:tab/>
      </w:r>
      <w:r w:rsidR="00EE2BF1">
        <w:t>(2)</w:t>
      </w:r>
    </w:p>
    <w:p w:rsidR="00610EE0" w:rsidRDefault="007849FF" w:rsidP="00610EE0">
      <w:pPr>
        <w:pStyle w:val="Paragraph"/>
      </w:pPr>
      <w:proofErr w:type="gramStart"/>
      <w:r w:rsidRPr="007849FF">
        <w:t>where</w:t>
      </w:r>
      <w:proofErr w:type="gramEnd"/>
      <w:r w:rsidRPr="007849FF">
        <w:t xml:space="preserve"> </w:t>
      </w:r>
      <w:proofErr w:type="spellStart"/>
      <w:r w:rsidRPr="00EE2BF1">
        <w:rPr>
          <w:i/>
        </w:rPr>
        <w:t>C</w:t>
      </w:r>
      <w:r w:rsidRPr="00EE2BF1">
        <w:rPr>
          <w:vertAlign w:val="subscript"/>
        </w:rPr>
        <w:t>max</w:t>
      </w:r>
      <w:proofErr w:type="spellEnd"/>
      <w:r w:rsidRPr="007849FF">
        <w:t xml:space="preserve">, </w:t>
      </w:r>
      <w:r w:rsidRPr="00EE2BF1">
        <w:rPr>
          <w:i/>
        </w:rPr>
        <w:t>C</w:t>
      </w:r>
      <w:r w:rsidR="00EE2BF1" w:rsidRPr="00EE2BF1">
        <w:rPr>
          <w:vertAlign w:val="subscript"/>
        </w:rPr>
        <w:t>0</w:t>
      </w:r>
      <w:r w:rsidRPr="007849FF">
        <w:t xml:space="preserve">, and </w:t>
      </w:r>
      <w:r w:rsidRPr="00EE2BF1">
        <w:rPr>
          <w:i/>
        </w:rPr>
        <w:t>m</w:t>
      </w:r>
      <w:r w:rsidRPr="007849FF">
        <w:t xml:space="preserve"> are adjustable parameters</w:t>
      </w:r>
      <w:r>
        <w:t>.</w:t>
      </w:r>
      <w:r w:rsidRPr="007849FF">
        <w:t xml:space="preserve"> </w:t>
      </w:r>
      <w:r w:rsidR="00EE010B">
        <w:t xml:space="preserve">The </w:t>
      </w:r>
      <w:r w:rsidR="00610EE0">
        <w:t>fitting curves are shown in Fig. 2</w:t>
      </w:r>
      <w:r w:rsidR="006D317D">
        <w:t xml:space="preserve"> as yellow lines</w:t>
      </w:r>
      <w:r w:rsidR="00EE010B">
        <w:t xml:space="preserve"> for the specimens with pores oriented in one direction (these points are marked as “α</w:t>
      </w:r>
      <w:r w:rsidR="00EE010B" w:rsidRPr="00605DE6">
        <w:rPr>
          <w:vertAlign w:val="subscript"/>
        </w:rPr>
        <w:t>y</w:t>
      </w:r>
      <w:r w:rsidR="00EE010B">
        <w:t xml:space="preserve">=45°”) and as cyan lines for the specimens of the second type of pore structure </w:t>
      </w:r>
      <w:r w:rsidR="002B4AD5">
        <w:t>(these points are marked as “rand”)</w:t>
      </w:r>
      <w:r w:rsidR="00610EE0">
        <w:t>.</w:t>
      </w:r>
      <w:r w:rsidR="002B4AD5">
        <w:t xml:space="preserve"> </w:t>
      </w:r>
      <w:r w:rsidR="00AB2A03">
        <w:t>Random orientation of the cylindrical pores along the compression direction has no influence on the elastic modulus along this direction (Fig. 1, a), but increase the strength value up to 10 % (Fig. 1, b).</w:t>
      </w:r>
    </w:p>
    <w:p w:rsidR="00610EE0" w:rsidRDefault="00610EE0" w:rsidP="004E3C57">
      <w:pPr>
        <w:pStyle w:val="Paragrap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6876"/>
      </w:tblGrid>
      <w:tr w:rsidR="004E3C57" w:rsidTr="00DD7CA2">
        <w:trPr>
          <w:trHeight w:val="2974"/>
        </w:trPr>
        <w:tc>
          <w:tcPr>
            <w:tcW w:w="6912" w:type="dxa"/>
          </w:tcPr>
          <w:p w:rsidR="004E3C57" w:rsidRDefault="0042069A" w:rsidP="0042069A">
            <w:pPr>
              <w:pStyle w:val="Paragraph"/>
              <w:ind w:firstLine="0"/>
              <w:jc w:val="center"/>
            </w:pPr>
            <w:r>
              <w:rPr>
                <w:noProof/>
                <w:lang w:val="ru-RU" w:eastAsia="ru-RU"/>
              </w:rPr>
              <w:drawing>
                <wp:inline distT="0" distB="0" distL="0" distR="0" wp14:anchorId="463A9254" wp14:editId="500C8405">
                  <wp:extent cx="4003820" cy="2999232"/>
                  <wp:effectExtent l="0" t="0" r="0" b="0"/>
                  <wp:docPr id="3" name="Рисунок 3" descr="M:\Science\Conferences\2018\Е-бург\Figs\Yv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cience\Conferences\2018\Е-бург\Figs\Yvs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7477" cy="3016953"/>
                          </a:xfrm>
                          <a:prstGeom prst="rect">
                            <a:avLst/>
                          </a:prstGeom>
                          <a:noFill/>
                          <a:ln>
                            <a:noFill/>
                          </a:ln>
                        </pic:spPr>
                      </pic:pic>
                    </a:graphicData>
                  </a:graphic>
                </wp:inline>
              </w:drawing>
            </w:r>
          </w:p>
        </w:tc>
        <w:tc>
          <w:tcPr>
            <w:tcW w:w="6876" w:type="dxa"/>
          </w:tcPr>
          <w:p w:rsidR="004E3C57" w:rsidRDefault="0042069A" w:rsidP="00A314BB">
            <w:pPr>
              <w:pStyle w:val="Paragraph"/>
              <w:ind w:firstLine="0"/>
              <w:jc w:val="center"/>
            </w:pPr>
            <w:r>
              <w:rPr>
                <w:noProof/>
                <w:lang w:val="ru-RU" w:eastAsia="ru-RU"/>
              </w:rPr>
              <w:drawing>
                <wp:inline distT="0" distB="0" distL="0" distR="0" wp14:anchorId="0B31960D" wp14:editId="08562939">
                  <wp:extent cx="3857340" cy="2889504"/>
                  <wp:effectExtent l="0" t="0" r="0" b="6350"/>
                  <wp:docPr id="4" name="Рисунок 4" descr="M:\Science\Conferences\2018\Е-бург\Figs\Sv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cience\Conferences\2018\Е-бург\Figs\Svs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3114" cy="2916302"/>
                          </a:xfrm>
                          <a:prstGeom prst="rect">
                            <a:avLst/>
                          </a:prstGeom>
                          <a:noFill/>
                          <a:ln>
                            <a:noFill/>
                          </a:ln>
                        </pic:spPr>
                      </pic:pic>
                    </a:graphicData>
                  </a:graphic>
                </wp:inline>
              </w:drawing>
            </w:r>
          </w:p>
        </w:tc>
      </w:tr>
      <w:tr w:rsidR="004E3C57" w:rsidTr="00DD7CA2">
        <w:trPr>
          <w:trHeight w:val="291"/>
        </w:trPr>
        <w:tc>
          <w:tcPr>
            <w:tcW w:w="6912" w:type="dxa"/>
          </w:tcPr>
          <w:p w:rsidR="004E3C57" w:rsidRDefault="004E3C57" w:rsidP="00A314BB">
            <w:pPr>
              <w:pStyle w:val="Paragraph"/>
              <w:ind w:firstLine="0"/>
              <w:jc w:val="center"/>
            </w:pPr>
            <w:r>
              <w:t>(a)</w:t>
            </w:r>
          </w:p>
        </w:tc>
        <w:tc>
          <w:tcPr>
            <w:tcW w:w="6876" w:type="dxa"/>
          </w:tcPr>
          <w:p w:rsidR="004E3C57" w:rsidRDefault="004E3C57" w:rsidP="00A314BB">
            <w:pPr>
              <w:pStyle w:val="Paragraph"/>
              <w:ind w:firstLine="0"/>
              <w:jc w:val="center"/>
            </w:pPr>
            <w:r>
              <w:t>(b)</w:t>
            </w:r>
          </w:p>
        </w:tc>
      </w:tr>
    </w:tbl>
    <w:p w:rsidR="004E3C57" w:rsidRPr="00574405" w:rsidRDefault="004E3C57" w:rsidP="005A0E21">
      <w:pPr>
        <w:pStyle w:val="FigureCaption"/>
        <w:rPr>
          <w:sz w:val="20"/>
        </w:rPr>
      </w:pPr>
      <w:proofErr w:type="gramStart"/>
      <w:r>
        <w:rPr>
          <w:b/>
          <w:caps/>
        </w:rPr>
        <w:t xml:space="preserve">Figure </w:t>
      </w:r>
      <w:r w:rsidR="00865F83">
        <w:rPr>
          <w:b/>
          <w:caps/>
        </w:rPr>
        <w:t>2</w:t>
      </w:r>
      <w:r>
        <w:rPr>
          <w:b/>
          <w:caps/>
        </w:rPr>
        <w:t>.</w:t>
      </w:r>
      <w:proofErr w:type="gramEnd"/>
      <w:r>
        <w:t xml:space="preserve"> </w:t>
      </w:r>
      <w:r w:rsidR="0042069A">
        <w:t>(a) Normalized Young’s modulus versus porosity and (b) normalized compression strength v</w:t>
      </w:r>
      <w:r w:rsidR="00B658E7">
        <w:t>ersu</w:t>
      </w:r>
      <w:r w:rsidR="0042069A">
        <w:t xml:space="preserve">s porosity </w:t>
      </w:r>
      <w:r w:rsidR="00B658E7">
        <w:t xml:space="preserve">for two group of </w:t>
      </w:r>
      <w:r w:rsidR="000F4B91">
        <w:t>specimen</w:t>
      </w:r>
      <w:r w:rsidR="00B658E7">
        <w:t>s with unidirectional cylindrical pores</w:t>
      </w:r>
      <w:r w:rsidR="00AB002F">
        <w:t xml:space="preserve"> (α</w:t>
      </w:r>
      <w:r w:rsidR="00AB002F" w:rsidRPr="00605DE6">
        <w:rPr>
          <w:vertAlign w:val="subscript"/>
        </w:rPr>
        <w:t>y</w:t>
      </w:r>
      <w:r w:rsidR="00AB002F">
        <w:t>=45°)</w:t>
      </w:r>
      <w:r w:rsidR="00B658E7">
        <w:t xml:space="preserve"> and randomly oriented</w:t>
      </w:r>
      <w:r w:rsidR="0042069A">
        <w:t xml:space="preserve"> </w:t>
      </w:r>
      <w:r w:rsidR="00B658E7">
        <w:t>pores</w:t>
      </w:r>
      <w:r w:rsidR="00AB002F">
        <w:t xml:space="preserve"> (rand)</w:t>
      </w:r>
    </w:p>
    <w:p w:rsidR="004E3C57" w:rsidRDefault="004E3C57" w:rsidP="004E3C57">
      <w:pPr>
        <w:pStyle w:val="Paragraph"/>
        <w:rPr>
          <w:lang w:val="en-GB" w:eastAsia="en-GB"/>
        </w:rPr>
      </w:pPr>
    </w:p>
    <w:p w:rsidR="00B16B77" w:rsidRDefault="00AB2A03" w:rsidP="00587EAD">
      <w:pPr>
        <w:pStyle w:val="Paragraph"/>
      </w:pPr>
      <w:r>
        <w:rPr>
          <w:lang w:val="en-GB"/>
        </w:rPr>
        <w:t>Figure 3 depicts the resulting Poisson’s ratios along two lateral directions (</w:t>
      </w:r>
      <w:r w:rsidR="00AB002F">
        <w:rPr>
          <w:lang w:val="en-GB"/>
        </w:rPr>
        <w:t xml:space="preserve">exes </w:t>
      </w:r>
      <w:r w:rsidRPr="00AB2A03">
        <w:rPr>
          <w:i/>
          <w:lang w:val="en-GB"/>
        </w:rPr>
        <w:t>X</w:t>
      </w:r>
      <w:r>
        <w:rPr>
          <w:lang w:val="en-GB"/>
        </w:rPr>
        <w:t xml:space="preserve"> and </w:t>
      </w:r>
      <w:r w:rsidRPr="00AB2A03">
        <w:rPr>
          <w:i/>
          <w:lang w:val="en-GB"/>
        </w:rPr>
        <w:t>Y</w:t>
      </w:r>
      <w:r>
        <w:rPr>
          <w:lang w:val="en-GB"/>
        </w:rPr>
        <w:t>)</w:t>
      </w:r>
      <w:r w:rsidR="00B16B77">
        <w:rPr>
          <w:lang w:val="en-GB"/>
        </w:rPr>
        <w:t xml:space="preserve"> versus porosity for two </w:t>
      </w:r>
      <w:r w:rsidR="00AB002F">
        <w:rPr>
          <w:lang w:val="en-GB"/>
        </w:rPr>
        <w:t>types</w:t>
      </w:r>
      <w:r w:rsidR="00B16B77">
        <w:rPr>
          <w:lang w:val="en-GB"/>
        </w:rPr>
        <w:t xml:space="preserve"> of pore structure</w:t>
      </w:r>
      <w:r>
        <w:rPr>
          <w:lang w:val="en-GB"/>
        </w:rPr>
        <w:t xml:space="preserve">. </w:t>
      </w:r>
      <w:r w:rsidR="00B16B77">
        <w:rPr>
          <w:lang w:val="en-GB"/>
        </w:rPr>
        <w:t>For unidirectional pores</w:t>
      </w:r>
      <w:r w:rsidR="00AE5959">
        <w:rPr>
          <w:lang w:val="en-GB"/>
        </w:rPr>
        <w:t>,</w:t>
      </w:r>
      <w:r w:rsidR="00B16B77">
        <w:rPr>
          <w:lang w:val="en-GB"/>
        </w:rPr>
        <w:t xml:space="preserve"> it is obvious that the values of Poisson’s ratio</w:t>
      </w:r>
      <w:r w:rsidR="00B64733">
        <w:rPr>
          <w:lang w:val="en-GB"/>
        </w:rPr>
        <w:t xml:space="preserve"> </w:t>
      </w:r>
      <w:proofErr w:type="spellStart"/>
      <w:r w:rsidR="00B64733" w:rsidRPr="00B64733">
        <w:rPr>
          <w:i/>
          <w:lang w:val="en-GB"/>
        </w:rPr>
        <w:t>ν</w:t>
      </w:r>
      <w:r w:rsidR="00B64733" w:rsidRPr="00B64733">
        <w:rPr>
          <w:i/>
          <w:vertAlign w:val="subscript"/>
          <w:lang w:val="en-GB"/>
        </w:rPr>
        <w:t>x</w:t>
      </w:r>
      <w:proofErr w:type="spellEnd"/>
      <w:r w:rsidR="00B16B77">
        <w:rPr>
          <w:lang w:val="en-GB"/>
        </w:rPr>
        <w:t xml:space="preserve"> along axis </w:t>
      </w:r>
      <w:r w:rsidR="00B16B77" w:rsidRPr="00B16B77">
        <w:rPr>
          <w:i/>
          <w:lang w:val="en-GB"/>
        </w:rPr>
        <w:t>X</w:t>
      </w:r>
      <w:r w:rsidR="00B16B77" w:rsidRPr="00B16B77">
        <w:t xml:space="preserve"> (</w:t>
      </w:r>
      <w:r w:rsidR="00B16B77">
        <w:t>Fig. 3, a</w:t>
      </w:r>
      <w:r w:rsidR="00B16B77" w:rsidRPr="00B16B77">
        <w:t>)</w:t>
      </w:r>
      <w:r w:rsidR="00B16B77">
        <w:t xml:space="preserve"> </w:t>
      </w:r>
      <w:r w:rsidR="00A46DCE">
        <w:t>is smaller than</w:t>
      </w:r>
      <w:r w:rsidR="00B64733">
        <w:t xml:space="preserve"> </w:t>
      </w:r>
      <w:r w:rsidR="00AB002F">
        <w:rPr>
          <w:lang w:val="en-GB"/>
        </w:rPr>
        <w:t xml:space="preserve">Poisson’s ratio </w:t>
      </w:r>
      <w:proofErr w:type="spellStart"/>
      <w:r w:rsidR="00B64733" w:rsidRPr="00B64733">
        <w:rPr>
          <w:i/>
          <w:lang w:val="en-GB"/>
        </w:rPr>
        <w:t>ν</w:t>
      </w:r>
      <w:r w:rsidR="00B64733">
        <w:rPr>
          <w:i/>
          <w:vertAlign w:val="subscript"/>
          <w:lang w:val="en-GB"/>
        </w:rPr>
        <w:t>y</w:t>
      </w:r>
      <w:proofErr w:type="spellEnd"/>
      <w:r w:rsidR="00A46DCE">
        <w:t xml:space="preserve"> along axis </w:t>
      </w:r>
      <w:r w:rsidR="00A46DCE" w:rsidRPr="00A46DCE">
        <w:rPr>
          <w:i/>
        </w:rPr>
        <w:t>Y</w:t>
      </w:r>
      <w:r w:rsidR="00A46DCE" w:rsidRPr="00A46DCE">
        <w:t xml:space="preserve"> </w:t>
      </w:r>
      <w:r w:rsidR="00A46DCE">
        <w:t>because the cross section perpendicular</w:t>
      </w:r>
      <w:r w:rsidR="00A46DCE">
        <w:rPr>
          <w:lang w:val="en-GB"/>
        </w:rPr>
        <w:t xml:space="preserve"> to axis </w:t>
      </w:r>
      <w:r w:rsidR="00A46DCE" w:rsidRPr="00A46DCE">
        <w:rPr>
          <w:i/>
        </w:rPr>
        <w:t>Y</w:t>
      </w:r>
      <w:r w:rsidR="00A46DCE" w:rsidRPr="00A46DCE">
        <w:t xml:space="preserve"> </w:t>
      </w:r>
      <w:r w:rsidR="00EB0A2F">
        <w:t>contains elongated pores (Fig. 1, b) while the conjugated section contains circular pores</w:t>
      </w:r>
      <w:r w:rsidR="00A46DCE">
        <w:t xml:space="preserve">. </w:t>
      </w:r>
      <w:r w:rsidR="00AB002F">
        <w:t xml:space="preserve">The curves in </w:t>
      </w:r>
      <w:r w:rsidR="00EB0A2F">
        <w:t>Fig.</w:t>
      </w:r>
      <w:r w:rsidR="00B64733">
        <w:t> </w:t>
      </w:r>
      <w:r w:rsidR="00EB0A2F">
        <w:t>3,</w:t>
      </w:r>
      <w:r w:rsidR="00AB002F">
        <w:t xml:space="preserve"> </w:t>
      </w:r>
      <w:proofErr w:type="spellStart"/>
      <w:proofErr w:type="gramStart"/>
      <w:r w:rsidR="00EB0A2F">
        <w:t>a</w:t>
      </w:r>
      <w:proofErr w:type="spellEnd"/>
      <w:proofErr w:type="gramEnd"/>
      <w:r w:rsidR="00EB0A2F">
        <w:t xml:space="preserve"> </w:t>
      </w:r>
      <w:r w:rsidR="00B64733">
        <w:t xml:space="preserve">also </w:t>
      </w:r>
      <w:r w:rsidR="00EB0A2F">
        <w:t>shows that</w:t>
      </w:r>
      <w:r w:rsidR="00B64733" w:rsidRPr="00B64733">
        <w:rPr>
          <w:lang w:val="en-GB"/>
        </w:rPr>
        <w:t xml:space="preserve"> </w:t>
      </w:r>
      <w:proofErr w:type="spellStart"/>
      <w:r w:rsidR="00B64733" w:rsidRPr="00B64733">
        <w:rPr>
          <w:i/>
          <w:lang w:val="en-GB"/>
        </w:rPr>
        <w:t>ν</w:t>
      </w:r>
      <w:r w:rsidR="00B64733" w:rsidRPr="00B64733">
        <w:rPr>
          <w:i/>
          <w:vertAlign w:val="subscript"/>
          <w:lang w:val="en-GB"/>
        </w:rPr>
        <w:t>x</w:t>
      </w:r>
      <w:proofErr w:type="spellEnd"/>
      <w:r w:rsidR="00EB0A2F">
        <w:t xml:space="preserve"> </w:t>
      </w:r>
      <w:r w:rsidR="00B64733">
        <w:t xml:space="preserve">decreases with </w:t>
      </w:r>
      <w:r w:rsidR="00AE5959">
        <w:t xml:space="preserve">an </w:t>
      </w:r>
      <w:r w:rsidR="00B64733">
        <w:t xml:space="preserve">increase of porosity faster than </w:t>
      </w:r>
      <w:proofErr w:type="spellStart"/>
      <w:r w:rsidR="00B64733" w:rsidRPr="00B64733">
        <w:rPr>
          <w:i/>
          <w:lang w:val="en-GB"/>
        </w:rPr>
        <w:t>ν</w:t>
      </w:r>
      <w:r w:rsidR="00B64733">
        <w:rPr>
          <w:i/>
          <w:vertAlign w:val="subscript"/>
          <w:lang w:val="en-GB"/>
        </w:rPr>
        <w:t>y</w:t>
      </w:r>
      <w:proofErr w:type="spellEnd"/>
      <w:r w:rsidR="00B64733" w:rsidRPr="00B64733">
        <w:rPr>
          <w:lang w:val="en-GB"/>
        </w:rPr>
        <w:t xml:space="preserve"> </w:t>
      </w:r>
      <w:r w:rsidR="00B64733">
        <w:rPr>
          <w:lang w:val="en-GB"/>
        </w:rPr>
        <w:t xml:space="preserve">for </w:t>
      </w:r>
      <w:r w:rsidR="00AB002F">
        <w:rPr>
          <w:lang w:val="en-GB"/>
        </w:rPr>
        <w:t>the specimens with unidirectional pores. For the s</w:t>
      </w:r>
      <w:r w:rsidR="00B64733">
        <w:rPr>
          <w:lang w:val="en-GB"/>
        </w:rPr>
        <w:t>pe</w:t>
      </w:r>
      <w:r w:rsidR="00422DCF">
        <w:rPr>
          <w:lang w:val="en-GB"/>
        </w:rPr>
        <w:t>c</w:t>
      </w:r>
      <w:r w:rsidR="00AB002F">
        <w:rPr>
          <w:lang w:val="en-GB"/>
        </w:rPr>
        <w:t>imens</w:t>
      </w:r>
      <w:r w:rsidR="00B64733">
        <w:rPr>
          <w:lang w:val="en-GB"/>
        </w:rPr>
        <w:t xml:space="preserve"> with randomly oriented pores</w:t>
      </w:r>
      <w:r w:rsidR="00AE5959">
        <w:rPr>
          <w:lang w:val="en-GB"/>
        </w:rPr>
        <w:t>,</w:t>
      </w:r>
      <w:r w:rsidR="00B64733">
        <w:rPr>
          <w:lang w:val="en-GB"/>
        </w:rPr>
        <w:t xml:space="preserve"> the values of Poisson’s ratio along both axes a</w:t>
      </w:r>
      <w:r w:rsidR="00587EAD">
        <w:rPr>
          <w:lang w:val="en-GB"/>
        </w:rPr>
        <w:t>re</w:t>
      </w:r>
      <w:r w:rsidR="00B64733">
        <w:rPr>
          <w:lang w:val="en-GB"/>
        </w:rPr>
        <w:t xml:space="preserve"> approximately the same taking into account a large scatter of the values.</w:t>
      </w:r>
      <w:r w:rsidR="00587EAD">
        <w:rPr>
          <w:lang w:val="en-GB"/>
        </w:rPr>
        <w:t xml:space="preserve"> It is interesting </w:t>
      </w:r>
      <w:r w:rsidR="0050020C">
        <w:rPr>
          <w:lang w:val="en-GB"/>
        </w:rPr>
        <w:t xml:space="preserve">to note </w:t>
      </w:r>
      <w:r w:rsidR="00587EAD">
        <w:rPr>
          <w:lang w:val="en-GB"/>
        </w:rPr>
        <w:t xml:space="preserve">that </w:t>
      </w:r>
      <w:r w:rsidR="0050020C">
        <w:rPr>
          <w:lang w:val="en-GB"/>
        </w:rPr>
        <w:t xml:space="preserve">for this type </w:t>
      </w:r>
      <w:r w:rsidR="0050020C">
        <w:rPr>
          <w:lang w:val="en-GB"/>
        </w:rPr>
        <w:lastRenderedPageBreak/>
        <w:t xml:space="preserve">of pore structure the magnitude of </w:t>
      </w:r>
      <w:r w:rsidR="00587EAD">
        <w:rPr>
          <w:lang w:val="en-GB"/>
        </w:rPr>
        <w:t xml:space="preserve">Poisson’s ratio decrease with </w:t>
      </w:r>
      <w:r w:rsidR="0050020C">
        <w:rPr>
          <w:lang w:val="en-GB"/>
        </w:rPr>
        <w:t xml:space="preserve">porosity </w:t>
      </w:r>
      <w:r w:rsidR="00587EAD">
        <w:rPr>
          <w:lang w:val="en-GB"/>
        </w:rPr>
        <w:t>increasing</w:t>
      </w:r>
      <w:r w:rsidR="0050020C">
        <w:rPr>
          <w:lang w:val="en-GB"/>
        </w:rPr>
        <w:t xml:space="preserve"> (the slope of the cyan curves in Fig. 3)</w:t>
      </w:r>
      <w:r w:rsidR="00587EAD">
        <w:rPr>
          <w:lang w:val="en-GB"/>
        </w:rPr>
        <w:t xml:space="preserve"> corresponds to decrease of </w:t>
      </w:r>
      <w:proofErr w:type="spellStart"/>
      <w:r w:rsidR="00587EAD" w:rsidRPr="00B64733">
        <w:rPr>
          <w:i/>
          <w:lang w:val="en-GB"/>
        </w:rPr>
        <w:t>ν</w:t>
      </w:r>
      <w:r w:rsidR="00587EAD" w:rsidRPr="00B64733">
        <w:rPr>
          <w:i/>
          <w:vertAlign w:val="subscript"/>
          <w:lang w:val="en-GB"/>
        </w:rPr>
        <w:t>x</w:t>
      </w:r>
      <w:proofErr w:type="spellEnd"/>
      <w:r w:rsidR="00587EAD">
        <w:t xml:space="preserve"> for unidirectional pores</w:t>
      </w:r>
      <w:r w:rsidR="0050020C">
        <w:t xml:space="preserve"> (</w:t>
      </w:r>
      <w:r w:rsidR="0050020C">
        <w:rPr>
          <w:lang w:val="en-GB"/>
        </w:rPr>
        <w:t>the slope of the yellow curve in Fig. 3, a</w:t>
      </w:r>
      <w:r w:rsidR="0050020C">
        <w:t>)</w:t>
      </w:r>
      <w:r w:rsidR="00587EAD">
        <w:t xml:space="preserve">. </w:t>
      </w:r>
    </w:p>
    <w:p w:rsidR="0067279A" w:rsidRPr="00A46DCE" w:rsidRDefault="0067279A" w:rsidP="00587EAD">
      <w:pPr>
        <w:pStyle w:val="Paragrap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7017"/>
      </w:tblGrid>
      <w:tr w:rsidR="00B658E7" w:rsidTr="00DD7CA2">
        <w:trPr>
          <w:trHeight w:val="2974"/>
        </w:trPr>
        <w:tc>
          <w:tcPr>
            <w:tcW w:w="6771" w:type="dxa"/>
          </w:tcPr>
          <w:p w:rsidR="00B658E7" w:rsidRDefault="00B658E7" w:rsidP="00B658E7">
            <w:pPr>
              <w:pStyle w:val="Paragraph"/>
              <w:ind w:firstLine="0"/>
              <w:jc w:val="center"/>
            </w:pPr>
            <w:r>
              <w:rPr>
                <w:noProof/>
                <w:lang w:val="ru-RU" w:eastAsia="ru-RU"/>
              </w:rPr>
              <w:drawing>
                <wp:inline distT="0" distB="0" distL="0" distR="0" wp14:anchorId="07C72471" wp14:editId="7DCDB4F3">
                  <wp:extent cx="4046400" cy="3031200"/>
                  <wp:effectExtent l="0" t="0" r="0" b="0"/>
                  <wp:docPr id="7" name="Рисунок 7" descr="M:\Science\Conferences\2018\Е-бург\Figs\PoissonXv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cience\Conferences\2018\Е-бург\Figs\PoissonXvs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6400" cy="3031200"/>
                          </a:xfrm>
                          <a:prstGeom prst="rect">
                            <a:avLst/>
                          </a:prstGeom>
                          <a:noFill/>
                          <a:ln>
                            <a:noFill/>
                          </a:ln>
                        </pic:spPr>
                      </pic:pic>
                    </a:graphicData>
                  </a:graphic>
                </wp:inline>
              </w:drawing>
            </w:r>
          </w:p>
        </w:tc>
        <w:tc>
          <w:tcPr>
            <w:tcW w:w="7017" w:type="dxa"/>
          </w:tcPr>
          <w:p w:rsidR="00B658E7" w:rsidRDefault="00B658E7" w:rsidP="00B658E7">
            <w:pPr>
              <w:pStyle w:val="Paragraph"/>
              <w:ind w:firstLine="0"/>
              <w:jc w:val="center"/>
            </w:pPr>
            <w:r>
              <w:rPr>
                <w:noProof/>
                <w:lang w:val="ru-RU" w:eastAsia="ru-RU"/>
              </w:rPr>
              <w:drawing>
                <wp:inline distT="0" distB="0" distL="0" distR="0" wp14:anchorId="57A3CD6E" wp14:editId="420CD83E">
                  <wp:extent cx="4046400" cy="3031200"/>
                  <wp:effectExtent l="0" t="0" r="0" b="0"/>
                  <wp:docPr id="8" name="Рисунок 8" descr="M:\Science\Conferences\2018\Е-бург\Figs\PoissonYv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cience\Conferences\2018\Е-бург\Figs\PoissonYvs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6400" cy="3031200"/>
                          </a:xfrm>
                          <a:prstGeom prst="rect">
                            <a:avLst/>
                          </a:prstGeom>
                          <a:noFill/>
                          <a:ln>
                            <a:noFill/>
                          </a:ln>
                        </pic:spPr>
                      </pic:pic>
                    </a:graphicData>
                  </a:graphic>
                </wp:inline>
              </w:drawing>
            </w:r>
          </w:p>
        </w:tc>
      </w:tr>
      <w:tr w:rsidR="00B658E7" w:rsidTr="00DD7CA2">
        <w:trPr>
          <w:trHeight w:val="291"/>
        </w:trPr>
        <w:tc>
          <w:tcPr>
            <w:tcW w:w="6771" w:type="dxa"/>
          </w:tcPr>
          <w:p w:rsidR="00B658E7" w:rsidRDefault="00B658E7" w:rsidP="00B658E7">
            <w:pPr>
              <w:pStyle w:val="Paragraph"/>
              <w:ind w:firstLine="0"/>
              <w:jc w:val="center"/>
            </w:pPr>
            <w:r>
              <w:t>(a)</w:t>
            </w:r>
          </w:p>
        </w:tc>
        <w:tc>
          <w:tcPr>
            <w:tcW w:w="7017" w:type="dxa"/>
          </w:tcPr>
          <w:p w:rsidR="00B658E7" w:rsidRDefault="00B658E7" w:rsidP="00B658E7">
            <w:pPr>
              <w:pStyle w:val="Paragraph"/>
              <w:ind w:firstLine="0"/>
              <w:jc w:val="center"/>
            </w:pPr>
            <w:r>
              <w:t>(b)</w:t>
            </w:r>
          </w:p>
        </w:tc>
      </w:tr>
    </w:tbl>
    <w:p w:rsidR="00B658E7" w:rsidRPr="00574405" w:rsidRDefault="00B658E7" w:rsidP="00B658E7">
      <w:pPr>
        <w:pStyle w:val="FigureCaption"/>
        <w:rPr>
          <w:sz w:val="20"/>
        </w:rPr>
      </w:pPr>
      <w:proofErr w:type="gramStart"/>
      <w:r>
        <w:rPr>
          <w:b/>
          <w:caps/>
        </w:rPr>
        <w:t xml:space="preserve">Figure </w:t>
      </w:r>
      <w:r w:rsidR="00865F83">
        <w:rPr>
          <w:b/>
          <w:caps/>
        </w:rPr>
        <w:t>3</w:t>
      </w:r>
      <w:r>
        <w:rPr>
          <w:b/>
          <w:caps/>
        </w:rPr>
        <w:t>.</w:t>
      </w:r>
      <w:proofErr w:type="gramEnd"/>
      <w:r>
        <w:t xml:space="preserve"> Normalized Poisson’s ratio along </w:t>
      </w:r>
      <w:r w:rsidRPr="00EB0A2F">
        <w:rPr>
          <w:i/>
        </w:rPr>
        <w:t>X</w:t>
      </w:r>
      <w:r>
        <w:t xml:space="preserve"> axis (a) and </w:t>
      </w:r>
      <w:r w:rsidRPr="00EB0A2F">
        <w:rPr>
          <w:i/>
        </w:rPr>
        <w:t>Y</w:t>
      </w:r>
      <w:r>
        <w:t xml:space="preserve"> axis (b) versus porosity for two </w:t>
      </w:r>
      <w:r w:rsidR="00422DCF">
        <w:t>types</w:t>
      </w:r>
      <w:r>
        <w:t xml:space="preserve"> of </w:t>
      </w:r>
      <w:r w:rsidR="00EB0A2F">
        <w:t>pore structure:</w:t>
      </w:r>
      <w:r>
        <w:t xml:space="preserve"> unidirectional cylindrical pores and randomly oriented pores</w:t>
      </w:r>
    </w:p>
    <w:p w:rsidR="006D6198" w:rsidRDefault="006D6198" w:rsidP="004E3C57">
      <w:pPr>
        <w:pStyle w:val="Paragraph"/>
        <w:rPr>
          <w:lang w:val="en-GB" w:eastAsia="en-GB"/>
        </w:rPr>
      </w:pPr>
    </w:p>
    <w:p w:rsidR="00B658E7" w:rsidRDefault="006D6198" w:rsidP="004E3C57">
      <w:pPr>
        <w:pStyle w:val="Paragraph"/>
        <w:rPr>
          <w:lang w:val="en-GB" w:eastAsia="en-GB"/>
        </w:rPr>
      </w:pPr>
      <w:r>
        <w:rPr>
          <w:lang w:val="en-GB" w:eastAsia="en-GB"/>
        </w:rPr>
        <w:t>Summarising the obtained results</w:t>
      </w:r>
      <w:r w:rsidR="003D04CA">
        <w:rPr>
          <w:lang w:val="en-GB" w:eastAsia="en-GB"/>
        </w:rPr>
        <w:t>,</w:t>
      </w:r>
      <w:r>
        <w:rPr>
          <w:lang w:val="en-GB" w:eastAsia="en-GB"/>
        </w:rPr>
        <w:t xml:space="preserve"> we can conclude that the proposed MCA model allows simulating </w:t>
      </w:r>
      <w:r w:rsidR="003D04CA">
        <w:rPr>
          <w:lang w:val="en-GB" w:eastAsia="en-GB"/>
        </w:rPr>
        <w:t>and studying the deformation and fracture</w:t>
      </w:r>
      <w:r>
        <w:rPr>
          <w:lang w:val="en-GB" w:eastAsia="en-GB"/>
        </w:rPr>
        <w:t xml:space="preserve"> of the ceramics with elongated pores</w:t>
      </w:r>
      <w:r w:rsidR="003D04CA">
        <w:rPr>
          <w:lang w:val="en-GB" w:eastAsia="en-GB"/>
        </w:rPr>
        <w:t xml:space="preserve">. </w:t>
      </w:r>
      <w:r w:rsidR="00D9554F">
        <w:rPr>
          <w:lang w:val="en-GB" w:eastAsia="en-GB"/>
        </w:rPr>
        <w:t xml:space="preserve">The simulations of </w:t>
      </w:r>
      <w:r w:rsidR="00151612">
        <w:rPr>
          <w:lang w:val="en-GB" w:eastAsia="en-GB"/>
        </w:rPr>
        <w:t xml:space="preserve">five specimens with </w:t>
      </w:r>
      <w:r w:rsidR="00BC22A0">
        <w:rPr>
          <w:lang w:val="en-GB" w:eastAsia="en-GB"/>
        </w:rPr>
        <w:t xml:space="preserve">the </w:t>
      </w:r>
      <w:r w:rsidR="00151612">
        <w:rPr>
          <w:lang w:val="en-GB" w:eastAsia="en-GB"/>
        </w:rPr>
        <w:t>unique position of individual pores</w:t>
      </w:r>
      <w:r w:rsidR="00D9554F">
        <w:rPr>
          <w:lang w:val="en-GB" w:eastAsia="en-GB"/>
        </w:rPr>
        <w:t xml:space="preserve"> </w:t>
      </w:r>
      <w:r w:rsidR="00151612">
        <w:rPr>
          <w:lang w:val="en-GB" w:eastAsia="en-GB"/>
        </w:rPr>
        <w:t xml:space="preserve">for each value of total porosity </w:t>
      </w:r>
      <w:r w:rsidR="00D9554F">
        <w:rPr>
          <w:lang w:val="en-GB" w:eastAsia="en-GB"/>
        </w:rPr>
        <w:t xml:space="preserve">show that </w:t>
      </w:r>
      <w:r w:rsidR="00151612">
        <w:rPr>
          <w:lang w:val="en-GB" w:eastAsia="en-GB"/>
        </w:rPr>
        <w:t xml:space="preserve">there is no </w:t>
      </w:r>
      <w:r w:rsidR="00D9554F">
        <w:rPr>
          <w:lang w:val="en-GB" w:eastAsia="en-GB"/>
        </w:rPr>
        <w:t>scatter</w:t>
      </w:r>
      <w:r w:rsidR="00BC22A0">
        <w:rPr>
          <w:lang w:val="en-GB" w:eastAsia="en-GB"/>
        </w:rPr>
        <w:t>ing</w:t>
      </w:r>
      <w:r w:rsidR="00D9554F">
        <w:rPr>
          <w:lang w:val="en-GB" w:eastAsia="en-GB"/>
        </w:rPr>
        <w:t xml:space="preserve"> </w:t>
      </w:r>
      <w:r w:rsidR="00151612">
        <w:rPr>
          <w:lang w:val="en-GB" w:eastAsia="en-GB"/>
        </w:rPr>
        <w:t>of elastic modulus values</w:t>
      </w:r>
      <w:r w:rsidR="00D9554F">
        <w:rPr>
          <w:lang w:val="en-GB" w:eastAsia="en-GB"/>
        </w:rPr>
        <w:t xml:space="preserve"> </w:t>
      </w:r>
      <w:r w:rsidR="00151612">
        <w:rPr>
          <w:lang w:val="en-GB" w:eastAsia="en-GB"/>
        </w:rPr>
        <w:t>while the scatter of strength and Poisson’s ratio values is significant.</w:t>
      </w:r>
      <w:r>
        <w:rPr>
          <w:lang w:val="en-GB" w:eastAsia="en-GB"/>
        </w:rPr>
        <w:t xml:space="preserve"> </w:t>
      </w:r>
      <w:r w:rsidR="00151612">
        <w:rPr>
          <w:lang w:val="en-GB" w:eastAsia="en-GB"/>
        </w:rPr>
        <w:t>Random orientation of elongated pores results in higher strength value and does not change Young’s modulus of the model ceramics.</w:t>
      </w:r>
    </w:p>
    <w:p w:rsidR="0016385D" w:rsidRPr="00075EA6" w:rsidRDefault="0016385D">
      <w:pPr>
        <w:pStyle w:val="1"/>
        <w:rPr>
          <w:rFonts w:asciiTheme="majorBidi" w:hAnsiTheme="majorBidi" w:cstheme="majorBidi"/>
        </w:rPr>
      </w:pPr>
      <w:r w:rsidRPr="00075EA6">
        <w:rPr>
          <w:rFonts w:asciiTheme="majorBidi" w:hAnsiTheme="majorBidi" w:cstheme="majorBidi"/>
        </w:rPr>
        <w:lastRenderedPageBreak/>
        <w:t>References</w:t>
      </w:r>
    </w:p>
    <w:p w:rsidR="001A66FC" w:rsidRPr="00F65047" w:rsidRDefault="001A66FC" w:rsidP="001A66FC">
      <w:pPr>
        <w:pStyle w:val="Reference"/>
      </w:pPr>
      <w:r w:rsidRPr="00F65047">
        <w:t>I.</w:t>
      </w:r>
      <w:r w:rsidR="00B64733" w:rsidRPr="00F65047">
        <w:t> </w:t>
      </w:r>
      <w:proofErr w:type="spellStart"/>
      <w:r w:rsidRPr="00F65047">
        <w:t>Sevostianov</w:t>
      </w:r>
      <w:proofErr w:type="spellEnd"/>
      <w:r w:rsidRPr="00F65047">
        <w:t xml:space="preserve">, in </w:t>
      </w:r>
      <w:r w:rsidRPr="00F65047">
        <w:rPr>
          <w:i/>
        </w:rPr>
        <w:t>Effective Properties of Heterogeneous Materials in “Solid Mechanics and Its Applications”</w:t>
      </w:r>
      <w:r w:rsidRPr="00F65047">
        <w:t xml:space="preserve">, edited by M. </w:t>
      </w:r>
      <w:proofErr w:type="spellStart"/>
      <w:r w:rsidRPr="00F65047">
        <w:t>Kachanov</w:t>
      </w:r>
      <w:proofErr w:type="spellEnd"/>
      <w:r w:rsidRPr="00F65047">
        <w:t xml:space="preserve"> and I. </w:t>
      </w:r>
      <w:proofErr w:type="spellStart"/>
      <w:r w:rsidRPr="00F65047">
        <w:t>Sevostianov</w:t>
      </w:r>
      <w:proofErr w:type="spellEnd"/>
      <w:r w:rsidRPr="00F65047">
        <w:t xml:space="preserve"> (Springer, 2013, V. 193), p. 389.</w:t>
      </w:r>
    </w:p>
    <w:p w:rsidR="003A61B1" w:rsidRPr="00CB4302" w:rsidRDefault="00502965" w:rsidP="00502965">
      <w:pPr>
        <w:pStyle w:val="Reference"/>
      </w:pPr>
      <w:r w:rsidRPr="00CB4302">
        <w:t>D</w:t>
      </w:r>
      <w:r w:rsidR="003A61B1" w:rsidRPr="00CB4302">
        <w:t>.</w:t>
      </w:r>
      <w:r w:rsidR="001D6DC9" w:rsidRPr="00CB4302">
        <w:t> </w:t>
      </w:r>
      <w:proofErr w:type="spellStart"/>
      <w:r w:rsidRPr="00CB4302">
        <w:t>Aniszewska</w:t>
      </w:r>
      <w:proofErr w:type="spellEnd"/>
      <w:r w:rsidR="003A61B1" w:rsidRPr="00CB4302">
        <w:t xml:space="preserve">, </w:t>
      </w:r>
      <w:proofErr w:type="spellStart"/>
      <w:r w:rsidRPr="00CB4302">
        <w:t>Theor</w:t>
      </w:r>
      <w:proofErr w:type="spellEnd"/>
      <w:r w:rsidRPr="00CB4302">
        <w:t xml:space="preserve">. Appl. </w:t>
      </w:r>
      <w:proofErr w:type="spellStart"/>
      <w:r w:rsidRPr="00CB4302">
        <w:t>Fract</w:t>
      </w:r>
      <w:proofErr w:type="spellEnd"/>
      <w:r w:rsidRPr="00CB4302">
        <w:t xml:space="preserve">. Mech. </w:t>
      </w:r>
      <w:r w:rsidRPr="00CB4302">
        <w:rPr>
          <w:b/>
        </w:rPr>
        <w:t>62</w:t>
      </w:r>
      <w:r w:rsidRPr="00CB4302">
        <w:t>, 34–39 (2012)</w:t>
      </w:r>
      <w:r w:rsidR="003A61B1" w:rsidRPr="00CB4302">
        <w:t>.</w:t>
      </w:r>
    </w:p>
    <w:p w:rsidR="00502965" w:rsidRPr="00CB4302" w:rsidRDefault="00502965" w:rsidP="00502965">
      <w:pPr>
        <w:pStyle w:val="Reference"/>
      </w:pPr>
      <w:r w:rsidRPr="00CB4302">
        <w:t>J.</w:t>
      </w:r>
      <w:r w:rsidR="001D6DC9" w:rsidRPr="00CB4302">
        <w:t> </w:t>
      </w:r>
      <w:proofErr w:type="spellStart"/>
      <w:r w:rsidRPr="00CB4302">
        <w:t>Czopor</w:t>
      </w:r>
      <w:proofErr w:type="spellEnd"/>
      <w:r w:rsidRPr="00CB4302">
        <w:t>, D.</w:t>
      </w:r>
      <w:r w:rsidR="001D6DC9" w:rsidRPr="00CB4302">
        <w:t> </w:t>
      </w:r>
      <w:proofErr w:type="spellStart"/>
      <w:r w:rsidRPr="00CB4302">
        <w:t>Aniszewska</w:t>
      </w:r>
      <w:proofErr w:type="spellEnd"/>
      <w:r w:rsidRPr="00CB4302">
        <w:t>, M.</w:t>
      </w:r>
      <w:r w:rsidR="001D6DC9" w:rsidRPr="00CB4302">
        <w:t> </w:t>
      </w:r>
      <w:proofErr w:type="spellStart"/>
      <w:r w:rsidRPr="00CB4302">
        <w:t>Rybaczuk</w:t>
      </w:r>
      <w:proofErr w:type="spellEnd"/>
      <w:r w:rsidRPr="00CB4302">
        <w:t xml:space="preserve">, </w:t>
      </w:r>
      <w:proofErr w:type="spellStart"/>
      <w:r w:rsidRPr="00CB4302">
        <w:t>Comput</w:t>
      </w:r>
      <w:proofErr w:type="spellEnd"/>
      <w:r w:rsidRPr="00CB4302">
        <w:t xml:space="preserve">. Mater. Sci. </w:t>
      </w:r>
      <w:r w:rsidRPr="00CB4302">
        <w:rPr>
          <w:b/>
        </w:rPr>
        <w:t>51</w:t>
      </w:r>
      <w:r w:rsidRPr="00CB4302">
        <w:t>, 151–155 (2012).</w:t>
      </w:r>
    </w:p>
    <w:p w:rsidR="001D6DC9" w:rsidRPr="00CB4302" w:rsidRDefault="00FB228F" w:rsidP="00FB228F">
      <w:pPr>
        <w:pStyle w:val="Reference"/>
      </w:pPr>
      <w:r w:rsidRPr="00CB4302">
        <w:t>A. Yu. </w:t>
      </w:r>
      <w:proofErr w:type="spellStart"/>
      <w:r w:rsidRPr="00CB4302">
        <w:t>Smolin</w:t>
      </w:r>
      <w:proofErr w:type="spellEnd"/>
      <w:r w:rsidRPr="00CB4302">
        <w:t>, I. Yu. </w:t>
      </w:r>
      <w:proofErr w:type="spellStart"/>
      <w:r w:rsidRPr="00CB4302">
        <w:t>Smolin</w:t>
      </w:r>
      <w:proofErr w:type="spellEnd"/>
      <w:r w:rsidRPr="00CB4302">
        <w:t>, I. Yu. </w:t>
      </w:r>
      <w:proofErr w:type="spellStart"/>
      <w:r w:rsidRPr="00CB4302">
        <w:t>Smolina</w:t>
      </w:r>
      <w:proofErr w:type="spellEnd"/>
      <w:r w:rsidRPr="00CB4302">
        <w:t xml:space="preserve">, AIP Conf. Proc. </w:t>
      </w:r>
      <w:r w:rsidRPr="00CB4302">
        <w:rPr>
          <w:b/>
        </w:rPr>
        <w:t>1893</w:t>
      </w:r>
      <w:r w:rsidRPr="00CB4302">
        <w:t>, 030127-1 (2017).</w:t>
      </w:r>
    </w:p>
    <w:p w:rsidR="00F65047" w:rsidRDefault="00F65047" w:rsidP="00F65047">
      <w:pPr>
        <w:pStyle w:val="Reference"/>
      </w:pPr>
      <w:r w:rsidRPr="00EE2BF1">
        <w:t>A.</w:t>
      </w:r>
      <w:r>
        <w:t> </w:t>
      </w:r>
      <w:r w:rsidRPr="00EE2BF1">
        <w:t xml:space="preserve">Yu. </w:t>
      </w:r>
      <w:proofErr w:type="spellStart"/>
      <w:r w:rsidRPr="00EE2BF1">
        <w:t>Smolin</w:t>
      </w:r>
      <w:proofErr w:type="spellEnd"/>
      <w:r w:rsidRPr="00EE2BF1">
        <w:t>, N.</w:t>
      </w:r>
      <w:r>
        <w:t> </w:t>
      </w:r>
      <w:r w:rsidRPr="00EE2BF1">
        <w:t>V. Roman, I.</w:t>
      </w:r>
      <w:r>
        <w:t> </w:t>
      </w:r>
      <w:r w:rsidRPr="00EE2BF1">
        <w:t xml:space="preserve">S. </w:t>
      </w:r>
      <w:proofErr w:type="spellStart"/>
      <w:r w:rsidRPr="00EE2BF1">
        <w:t>Konovalenko</w:t>
      </w:r>
      <w:proofErr w:type="spellEnd"/>
      <w:r w:rsidRPr="00EE2BF1">
        <w:t>, G.</w:t>
      </w:r>
      <w:r>
        <w:t> </w:t>
      </w:r>
      <w:r w:rsidRPr="00EE2BF1">
        <w:t xml:space="preserve">M. </w:t>
      </w:r>
      <w:proofErr w:type="spellStart"/>
      <w:r w:rsidRPr="00EE2BF1">
        <w:t>Eremina</w:t>
      </w:r>
      <w:proofErr w:type="spellEnd"/>
      <w:r w:rsidRPr="00EE2BF1">
        <w:t>, S.</w:t>
      </w:r>
      <w:r>
        <w:t> </w:t>
      </w:r>
      <w:r w:rsidRPr="00EE2BF1">
        <w:t xml:space="preserve">P. </w:t>
      </w:r>
      <w:proofErr w:type="spellStart"/>
      <w:r w:rsidRPr="00EE2BF1">
        <w:t>Buyakova</w:t>
      </w:r>
      <w:proofErr w:type="spellEnd"/>
      <w:r w:rsidRPr="00EE2BF1">
        <w:t>, S.</w:t>
      </w:r>
      <w:r>
        <w:t> </w:t>
      </w:r>
      <w:r w:rsidRPr="00EE2BF1">
        <w:t xml:space="preserve">G. </w:t>
      </w:r>
      <w:proofErr w:type="spellStart"/>
      <w:r w:rsidRPr="00EE2BF1">
        <w:t>Psakhie</w:t>
      </w:r>
      <w:proofErr w:type="spellEnd"/>
      <w:r w:rsidRPr="00EE2BF1">
        <w:t xml:space="preserve">, Eng. </w:t>
      </w:r>
      <w:proofErr w:type="spellStart"/>
      <w:r w:rsidRPr="00EE2BF1">
        <w:t>Fract</w:t>
      </w:r>
      <w:proofErr w:type="spellEnd"/>
      <w:r w:rsidRPr="00EE2BF1">
        <w:t xml:space="preserve">. Mech., </w:t>
      </w:r>
      <w:r w:rsidRPr="00E808E4">
        <w:rPr>
          <w:b/>
        </w:rPr>
        <w:t>130</w:t>
      </w:r>
      <w:r w:rsidRPr="00EE2BF1">
        <w:t>, 53–64 (2014).</w:t>
      </w:r>
    </w:p>
    <w:p w:rsidR="00434389" w:rsidRDefault="00434389" w:rsidP="00434389">
      <w:pPr>
        <w:pStyle w:val="Reference"/>
      </w:pPr>
      <w:r w:rsidRPr="00CB4302">
        <w:t>N.</w:t>
      </w:r>
      <w:r w:rsidR="001A66FC" w:rsidRPr="00CB4302">
        <w:t> </w:t>
      </w:r>
      <w:r w:rsidRPr="00CB4302">
        <w:t>V.</w:t>
      </w:r>
      <w:r w:rsidR="00B64733" w:rsidRPr="00CB4302">
        <w:t> </w:t>
      </w:r>
      <w:r w:rsidRPr="00CB4302">
        <w:t>Roman, “</w:t>
      </w:r>
      <w:proofErr w:type="spellStart"/>
      <w:r w:rsidRPr="00CB4302">
        <w:t>Multiscale</w:t>
      </w:r>
      <w:proofErr w:type="spellEnd"/>
      <w:r w:rsidRPr="00CB4302">
        <w:t xml:space="preserve"> simulation of deformation and fracture</w:t>
      </w:r>
      <w:r w:rsidR="00A6289E" w:rsidRPr="00CB4302">
        <w:t xml:space="preserve"> of brittle porous materials by movable cellular automata,</w:t>
      </w:r>
      <w:r w:rsidRPr="00CB4302">
        <w:t>” Ph.D. thesis, Tomsk State Univ</w:t>
      </w:r>
      <w:r w:rsidR="00A6289E" w:rsidRPr="00CB4302">
        <w:t>ersity</w:t>
      </w:r>
      <w:r w:rsidRPr="00CB4302">
        <w:t xml:space="preserve">, </w:t>
      </w:r>
      <w:r w:rsidR="00A6289E" w:rsidRPr="00CB4302">
        <w:t>2012.</w:t>
      </w:r>
      <w:r w:rsidRPr="00CB4302">
        <w:t xml:space="preserve"> </w:t>
      </w:r>
      <w:r w:rsidR="00A6289E" w:rsidRPr="00CB4302">
        <w:t>(</w:t>
      </w:r>
      <w:r w:rsidRPr="00CB4302">
        <w:t>in Russian</w:t>
      </w:r>
      <w:r w:rsidR="00A6289E" w:rsidRPr="00CB4302">
        <w:t>)</w:t>
      </w:r>
    </w:p>
    <w:p w:rsidR="00F65047" w:rsidRDefault="00F65047" w:rsidP="00EE2BF1">
      <w:pPr>
        <w:pStyle w:val="Reference"/>
      </w:pPr>
      <w:r w:rsidRPr="00B214B2">
        <w:t xml:space="preserve">E. V. </w:t>
      </w:r>
      <w:proofErr w:type="spellStart"/>
      <w:r w:rsidRPr="00B214B2">
        <w:t>Shilko</w:t>
      </w:r>
      <w:proofErr w:type="spellEnd"/>
      <w:r w:rsidRPr="00B214B2">
        <w:t xml:space="preserve">, S. G. </w:t>
      </w:r>
      <w:proofErr w:type="spellStart"/>
      <w:r w:rsidRPr="00B214B2">
        <w:t>Psakhie</w:t>
      </w:r>
      <w:proofErr w:type="spellEnd"/>
      <w:r w:rsidRPr="00B214B2">
        <w:t xml:space="preserve">, S. </w:t>
      </w:r>
      <w:proofErr w:type="spellStart"/>
      <w:r w:rsidRPr="00B214B2">
        <w:t>Schmauder</w:t>
      </w:r>
      <w:proofErr w:type="spellEnd"/>
      <w:r w:rsidRPr="00B214B2">
        <w:t xml:space="preserve">, </w:t>
      </w:r>
      <w:r w:rsidRPr="00F67922">
        <w:t xml:space="preserve">V. L. Popov, S. V. </w:t>
      </w:r>
      <w:proofErr w:type="spellStart"/>
      <w:r w:rsidRPr="00F67922">
        <w:t>Astafurov</w:t>
      </w:r>
      <w:proofErr w:type="spellEnd"/>
      <w:r w:rsidRPr="00F67922">
        <w:t xml:space="preserve">, A. Yu. </w:t>
      </w:r>
      <w:proofErr w:type="spellStart"/>
      <w:r w:rsidRPr="00B018AA">
        <w:t>Smolin</w:t>
      </w:r>
      <w:proofErr w:type="spellEnd"/>
      <w:r w:rsidRPr="00B214B2">
        <w:t xml:space="preserve">, </w:t>
      </w:r>
      <w:proofErr w:type="spellStart"/>
      <w:r w:rsidRPr="00B214B2">
        <w:t>Comput</w:t>
      </w:r>
      <w:proofErr w:type="spellEnd"/>
      <w:r w:rsidRPr="00B214B2">
        <w:t>. Mater. Sci.</w:t>
      </w:r>
      <w:r>
        <w:t>,</w:t>
      </w:r>
      <w:r w:rsidRPr="00B214B2">
        <w:t xml:space="preserve"> </w:t>
      </w:r>
      <w:r w:rsidRPr="00B214B2">
        <w:rPr>
          <w:b/>
        </w:rPr>
        <w:t>102</w:t>
      </w:r>
      <w:r w:rsidRPr="00B214B2">
        <w:t>, 267–285 (2015).</w:t>
      </w:r>
    </w:p>
    <w:p w:rsidR="00E808E4" w:rsidRDefault="00E808E4" w:rsidP="00E808E4">
      <w:pPr>
        <w:pStyle w:val="Reference"/>
      </w:pPr>
      <w:r w:rsidRPr="00E808E4">
        <w:t>I.</w:t>
      </w:r>
      <w:r w:rsidR="00F65047">
        <w:t> </w:t>
      </w:r>
      <w:r w:rsidRPr="00E808E4">
        <w:t xml:space="preserve">Yu. </w:t>
      </w:r>
      <w:proofErr w:type="spellStart"/>
      <w:r w:rsidRPr="00E808E4">
        <w:t>Smolin</w:t>
      </w:r>
      <w:proofErr w:type="spellEnd"/>
      <w:r w:rsidRPr="00E808E4">
        <w:t>, P.</w:t>
      </w:r>
      <w:r w:rsidR="00F65047">
        <w:t> </w:t>
      </w:r>
      <w:r w:rsidRPr="00E808E4">
        <w:t>V. Makarov, M.</w:t>
      </w:r>
      <w:r w:rsidR="00F65047">
        <w:t> </w:t>
      </w:r>
      <w:r w:rsidRPr="00E808E4">
        <w:t xml:space="preserve">O. </w:t>
      </w:r>
      <w:proofErr w:type="spellStart"/>
      <w:r w:rsidRPr="00E808E4">
        <w:t>Eremin</w:t>
      </w:r>
      <w:proofErr w:type="spellEnd"/>
      <w:r w:rsidRPr="00E808E4">
        <w:t>, K.</w:t>
      </w:r>
      <w:r w:rsidR="00F65047">
        <w:t> </w:t>
      </w:r>
      <w:r w:rsidRPr="00E808E4">
        <w:t xml:space="preserve">S. </w:t>
      </w:r>
      <w:proofErr w:type="spellStart"/>
      <w:r w:rsidRPr="00E808E4">
        <w:t>Matyko</w:t>
      </w:r>
      <w:proofErr w:type="spellEnd"/>
      <w:r w:rsidRPr="00E808E4">
        <w:t xml:space="preserve">, Proc. </w:t>
      </w:r>
      <w:proofErr w:type="spellStart"/>
      <w:r w:rsidRPr="00E808E4">
        <w:t>Struct</w:t>
      </w:r>
      <w:proofErr w:type="spellEnd"/>
      <w:r w:rsidRPr="00E808E4">
        <w:t xml:space="preserve">. Integrity, </w:t>
      </w:r>
      <w:r w:rsidRPr="00E808E4">
        <w:rPr>
          <w:b/>
        </w:rPr>
        <w:t>2</w:t>
      </w:r>
      <w:r w:rsidRPr="00E808E4">
        <w:t>, 3353–3360 (2016).</w:t>
      </w:r>
    </w:p>
    <w:p w:rsidR="00E808E4" w:rsidRDefault="00E808E4" w:rsidP="00E808E4">
      <w:pPr>
        <w:pStyle w:val="Reference"/>
      </w:pPr>
      <w:r>
        <w:t xml:space="preserve">K. A. Acton, S. C. Baxter, B. </w:t>
      </w:r>
      <w:proofErr w:type="spellStart"/>
      <w:r>
        <w:t>Bahmani</w:t>
      </w:r>
      <w:proofErr w:type="spellEnd"/>
      <w:r>
        <w:t xml:space="preserve">, P. L. Clarke, R. </w:t>
      </w:r>
      <w:proofErr w:type="spellStart"/>
      <w:r>
        <w:t>Abedi</w:t>
      </w:r>
      <w:proofErr w:type="spellEnd"/>
      <w:r>
        <w:t xml:space="preserve">, </w:t>
      </w:r>
      <w:proofErr w:type="spellStart"/>
      <w:r w:rsidRPr="00E808E4">
        <w:t>Comput</w:t>
      </w:r>
      <w:proofErr w:type="spellEnd"/>
      <w:r w:rsidRPr="00E808E4">
        <w:t xml:space="preserve">. Methods Appl. Mech. </w:t>
      </w:r>
      <w:proofErr w:type="spellStart"/>
      <w:r w:rsidRPr="00E808E4">
        <w:t>Engrg</w:t>
      </w:r>
      <w:proofErr w:type="spellEnd"/>
      <w:r w:rsidRPr="00E808E4">
        <w:t xml:space="preserve">. </w:t>
      </w:r>
      <w:proofErr w:type="gramStart"/>
      <w:r w:rsidRPr="00E808E4">
        <w:rPr>
          <w:b/>
        </w:rPr>
        <w:t>336</w:t>
      </w:r>
      <w:proofErr w:type="gramEnd"/>
      <w:r>
        <w:t>,</w:t>
      </w:r>
      <w:r w:rsidRPr="00E808E4">
        <w:t xml:space="preserve"> 135–155</w:t>
      </w:r>
      <w:r>
        <w:t xml:space="preserve"> </w:t>
      </w:r>
      <w:r w:rsidRPr="00E808E4">
        <w:t>(2018)</w:t>
      </w:r>
      <w:r>
        <w:t>.</w:t>
      </w:r>
    </w:p>
    <w:p w:rsidR="0067279A" w:rsidRDefault="0067279A" w:rsidP="0067279A">
      <w:pPr>
        <w:pStyle w:val="Reference"/>
      </w:pPr>
      <w:r>
        <w:t xml:space="preserve">H. </w:t>
      </w:r>
      <w:proofErr w:type="spellStart"/>
      <w:r>
        <w:t>Rinne</w:t>
      </w:r>
      <w:proofErr w:type="spellEnd"/>
      <w:r>
        <w:t xml:space="preserve">, </w:t>
      </w:r>
      <w:proofErr w:type="gramStart"/>
      <w:r>
        <w:t>The</w:t>
      </w:r>
      <w:proofErr w:type="gramEnd"/>
      <w:r>
        <w:t xml:space="preserve"> </w:t>
      </w:r>
      <w:proofErr w:type="spellStart"/>
      <w:r>
        <w:t>Weibull</w:t>
      </w:r>
      <w:proofErr w:type="spellEnd"/>
      <w:r>
        <w:t xml:space="preserve"> Distribution. A Handbook (CRC Press, 2009) p. 762.</w:t>
      </w:r>
    </w:p>
    <w:p w:rsidR="0067279A" w:rsidRDefault="0067279A" w:rsidP="0067279A">
      <w:pPr>
        <w:pStyle w:val="Reference"/>
      </w:pPr>
      <w:r>
        <w:t xml:space="preserve">Implementation of functions supporting reliability analysis methods presented in “The New </w:t>
      </w:r>
      <w:proofErr w:type="spellStart"/>
      <w:r>
        <w:t>Weibull</w:t>
      </w:r>
      <w:proofErr w:type="spellEnd"/>
      <w:r>
        <w:t xml:space="preserve"> Handbook” by Dr. Robert B. Abernethy, see http://r-forge.r-project.org/projects/abernethy/</w:t>
      </w:r>
    </w:p>
    <w:sectPr w:rsidR="0067279A" w:rsidSect="00C34BB1">
      <w:pgSz w:w="15840" w:h="12240" w:orient="landscape"/>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6">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1">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3"/>
  </w:num>
  <w:num w:numId="2">
    <w:abstractNumId w:val="1"/>
  </w:num>
  <w:num w:numId="3">
    <w:abstractNumId w:val="10"/>
  </w:num>
  <w:num w:numId="4">
    <w:abstractNumId w:val="5"/>
  </w:num>
  <w:num w:numId="5">
    <w:abstractNumId w:val="9"/>
  </w:num>
  <w:num w:numId="6">
    <w:abstractNumId w:val="2"/>
  </w:num>
  <w:num w:numId="7">
    <w:abstractNumId w:val="4"/>
  </w:num>
  <w:num w:numId="8">
    <w:abstractNumId w:val="0"/>
  </w:num>
  <w:num w:numId="9">
    <w:abstractNumId w:val="12"/>
  </w:num>
  <w:num w:numId="10">
    <w:abstractNumId w:val="7"/>
  </w:num>
  <w:num w:numId="11">
    <w:abstractNumId w:val="11"/>
  </w:num>
  <w:num w:numId="12">
    <w:abstractNumId w:val="8"/>
  </w:num>
  <w:num w:numId="13">
    <w:abstractNumId w:val="3"/>
  </w:num>
  <w:num w:numId="14">
    <w:abstractNumId w:val="12"/>
  </w:num>
  <w:num w:numId="15">
    <w:abstractNumId w:val="6"/>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9"/>
  </w:num>
  <w:num w:numId="30">
    <w:abstractNumId w:val="9"/>
  </w:num>
  <w:num w:numId="31">
    <w:abstractNumId w:val="9"/>
    <w:lvlOverride w:ilvl="0">
      <w:startOverride w:val="1"/>
    </w:lvlOverride>
  </w:num>
  <w:num w:numId="32">
    <w:abstractNumId w:val="9"/>
  </w:num>
  <w:num w:numId="33">
    <w:abstractNumId w:val="9"/>
    <w:lvlOverride w:ilvl="0">
      <w:startOverride w:val="1"/>
    </w:lvlOverride>
  </w:num>
  <w:num w:numId="34">
    <w:abstractNumId w:val="9"/>
    <w:lvlOverride w:ilvl="0">
      <w:startOverride w:val="1"/>
    </w:lvlOverride>
  </w:num>
  <w:num w:numId="35">
    <w:abstractNumId w:val="10"/>
    <w:lvlOverride w:ilvl="0">
      <w:startOverride w:val="1"/>
    </w:lvlOverride>
  </w:num>
  <w:num w:numId="36">
    <w:abstractNumId w:val="10"/>
  </w:num>
  <w:num w:numId="37">
    <w:abstractNumId w:val="10"/>
    <w:lvlOverride w:ilvl="0">
      <w:startOverride w:val="1"/>
    </w:lvlOverride>
  </w:num>
  <w:num w:numId="38">
    <w:abstractNumId w:val="10"/>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E0"/>
    <w:rsid w:val="0000225F"/>
    <w:rsid w:val="00014140"/>
    <w:rsid w:val="00031EC9"/>
    <w:rsid w:val="00066FED"/>
    <w:rsid w:val="00075EA6"/>
    <w:rsid w:val="0007709F"/>
    <w:rsid w:val="00080049"/>
    <w:rsid w:val="00086F62"/>
    <w:rsid w:val="0009320B"/>
    <w:rsid w:val="00096AE0"/>
    <w:rsid w:val="000B1B74"/>
    <w:rsid w:val="000B3A2D"/>
    <w:rsid w:val="000B49C0"/>
    <w:rsid w:val="000C341D"/>
    <w:rsid w:val="000D57FB"/>
    <w:rsid w:val="000E382F"/>
    <w:rsid w:val="000E6359"/>
    <w:rsid w:val="000F4B91"/>
    <w:rsid w:val="001036BA"/>
    <w:rsid w:val="001102BC"/>
    <w:rsid w:val="001135E5"/>
    <w:rsid w:val="001146DC"/>
    <w:rsid w:val="00114AB1"/>
    <w:rsid w:val="001230FF"/>
    <w:rsid w:val="00130BD7"/>
    <w:rsid w:val="00151612"/>
    <w:rsid w:val="00155B67"/>
    <w:rsid w:val="001562AF"/>
    <w:rsid w:val="00161A5B"/>
    <w:rsid w:val="0016385D"/>
    <w:rsid w:val="00166BAC"/>
    <w:rsid w:val="0016782F"/>
    <w:rsid w:val="001734F3"/>
    <w:rsid w:val="001937E9"/>
    <w:rsid w:val="001A66FC"/>
    <w:rsid w:val="001B263B"/>
    <w:rsid w:val="001B476A"/>
    <w:rsid w:val="001C764F"/>
    <w:rsid w:val="001C7BB3"/>
    <w:rsid w:val="001D469C"/>
    <w:rsid w:val="001D6DC9"/>
    <w:rsid w:val="001E2BA5"/>
    <w:rsid w:val="0023171B"/>
    <w:rsid w:val="00236BFC"/>
    <w:rsid w:val="00237437"/>
    <w:rsid w:val="002502FD"/>
    <w:rsid w:val="00252149"/>
    <w:rsid w:val="00271998"/>
    <w:rsid w:val="00274622"/>
    <w:rsid w:val="0027468C"/>
    <w:rsid w:val="00285D24"/>
    <w:rsid w:val="00290390"/>
    <w:rsid w:val="002915D3"/>
    <w:rsid w:val="002941DA"/>
    <w:rsid w:val="002A4312"/>
    <w:rsid w:val="002B4AD5"/>
    <w:rsid w:val="002C7F98"/>
    <w:rsid w:val="002E3C35"/>
    <w:rsid w:val="002F5298"/>
    <w:rsid w:val="00337E4F"/>
    <w:rsid w:val="00340C36"/>
    <w:rsid w:val="00346A9D"/>
    <w:rsid w:val="00352524"/>
    <w:rsid w:val="0039376F"/>
    <w:rsid w:val="003A287B"/>
    <w:rsid w:val="003A5C85"/>
    <w:rsid w:val="003A61B1"/>
    <w:rsid w:val="003B3EB4"/>
    <w:rsid w:val="003D04CA"/>
    <w:rsid w:val="003E44DD"/>
    <w:rsid w:val="003E7C74"/>
    <w:rsid w:val="003F31C6"/>
    <w:rsid w:val="003F6E5A"/>
    <w:rsid w:val="0040225B"/>
    <w:rsid w:val="00402DA2"/>
    <w:rsid w:val="0042069A"/>
    <w:rsid w:val="00422DCF"/>
    <w:rsid w:val="00425AC2"/>
    <w:rsid w:val="00434389"/>
    <w:rsid w:val="0044771F"/>
    <w:rsid w:val="00447991"/>
    <w:rsid w:val="00462D33"/>
    <w:rsid w:val="004B151D"/>
    <w:rsid w:val="004C7243"/>
    <w:rsid w:val="004E18D3"/>
    <w:rsid w:val="004E21DE"/>
    <w:rsid w:val="004E3C57"/>
    <w:rsid w:val="004E3CB2"/>
    <w:rsid w:val="0050020C"/>
    <w:rsid w:val="00502965"/>
    <w:rsid w:val="00525813"/>
    <w:rsid w:val="0053513F"/>
    <w:rsid w:val="00535852"/>
    <w:rsid w:val="00574405"/>
    <w:rsid w:val="00587EAD"/>
    <w:rsid w:val="005A0E21"/>
    <w:rsid w:val="005B3A34"/>
    <w:rsid w:val="005C2AD3"/>
    <w:rsid w:val="005D49AF"/>
    <w:rsid w:val="005E4004"/>
    <w:rsid w:val="005E415C"/>
    <w:rsid w:val="005E7946"/>
    <w:rsid w:val="005F7475"/>
    <w:rsid w:val="00605DE6"/>
    <w:rsid w:val="00610EE0"/>
    <w:rsid w:val="00611299"/>
    <w:rsid w:val="00616365"/>
    <w:rsid w:val="00616F3B"/>
    <w:rsid w:val="006249A7"/>
    <w:rsid w:val="00637A67"/>
    <w:rsid w:val="0064225B"/>
    <w:rsid w:val="0067279A"/>
    <w:rsid w:val="006805E3"/>
    <w:rsid w:val="006943E9"/>
    <w:rsid w:val="006949BC"/>
    <w:rsid w:val="006D1229"/>
    <w:rsid w:val="006D317D"/>
    <w:rsid w:val="006D6198"/>
    <w:rsid w:val="006D7A18"/>
    <w:rsid w:val="00723B7F"/>
    <w:rsid w:val="00725861"/>
    <w:rsid w:val="00727DB8"/>
    <w:rsid w:val="0073393A"/>
    <w:rsid w:val="0073539D"/>
    <w:rsid w:val="00737146"/>
    <w:rsid w:val="00757374"/>
    <w:rsid w:val="00767B8A"/>
    <w:rsid w:val="00775481"/>
    <w:rsid w:val="007849FF"/>
    <w:rsid w:val="007A233B"/>
    <w:rsid w:val="007B4863"/>
    <w:rsid w:val="007C0DD5"/>
    <w:rsid w:val="007C65E6"/>
    <w:rsid w:val="007D406B"/>
    <w:rsid w:val="007D4407"/>
    <w:rsid w:val="007E1CA3"/>
    <w:rsid w:val="00801CC5"/>
    <w:rsid w:val="00821713"/>
    <w:rsid w:val="00827050"/>
    <w:rsid w:val="0083278B"/>
    <w:rsid w:val="00834538"/>
    <w:rsid w:val="00850E89"/>
    <w:rsid w:val="00865F83"/>
    <w:rsid w:val="008930E4"/>
    <w:rsid w:val="00893821"/>
    <w:rsid w:val="008A7B9C"/>
    <w:rsid w:val="008B4754"/>
    <w:rsid w:val="008E6A7A"/>
    <w:rsid w:val="008F1038"/>
    <w:rsid w:val="008F210D"/>
    <w:rsid w:val="008F7046"/>
    <w:rsid w:val="009005FC"/>
    <w:rsid w:val="00915122"/>
    <w:rsid w:val="00943315"/>
    <w:rsid w:val="009B696B"/>
    <w:rsid w:val="009B7671"/>
    <w:rsid w:val="009F056E"/>
    <w:rsid w:val="009F200F"/>
    <w:rsid w:val="00A26DCD"/>
    <w:rsid w:val="00A314BB"/>
    <w:rsid w:val="00A32B7D"/>
    <w:rsid w:val="00A46DCE"/>
    <w:rsid w:val="00A5596B"/>
    <w:rsid w:val="00A6289E"/>
    <w:rsid w:val="00A646B3"/>
    <w:rsid w:val="00A6739B"/>
    <w:rsid w:val="00A90413"/>
    <w:rsid w:val="00AB002F"/>
    <w:rsid w:val="00AB0A9C"/>
    <w:rsid w:val="00AB2A03"/>
    <w:rsid w:val="00AB7119"/>
    <w:rsid w:val="00AD5855"/>
    <w:rsid w:val="00AE3378"/>
    <w:rsid w:val="00AE5959"/>
    <w:rsid w:val="00AE7500"/>
    <w:rsid w:val="00AE7F87"/>
    <w:rsid w:val="00AF3542"/>
    <w:rsid w:val="00AF5ABE"/>
    <w:rsid w:val="00B00415"/>
    <w:rsid w:val="00B04DDB"/>
    <w:rsid w:val="00B1000D"/>
    <w:rsid w:val="00B10134"/>
    <w:rsid w:val="00B16B77"/>
    <w:rsid w:val="00B16BFE"/>
    <w:rsid w:val="00B22D1B"/>
    <w:rsid w:val="00B40A3B"/>
    <w:rsid w:val="00B500E5"/>
    <w:rsid w:val="00B64733"/>
    <w:rsid w:val="00B658E7"/>
    <w:rsid w:val="00B83B14"/>
    <w:rsid w:val="00BA39BB"/>
    <w:rsid w:val="00BA3B3D"/>
    <w:rsid w:val="00BC22A0"/>
    <w:rsid w:val="00BD1909"/>
    <w:rsid w:val="00BE5E16"/>
    <w:rsid w:val="00BE5FD1"/>
    <w:rsid w:val="00BF62C1"/>
    <w:rsid w:val="00C06E05"/>
    <w:rsid w:val="00C17370"/>
    <w:rsid w:val="00C26EC0"/>
    <w:rsid w:val="00C34BB1"/>
    <w:rsid w:val="00C554E0"/>
    <w:rsid w:val="00C56C77"/>
    <w:rsid w:val="00C60B7A"/>
    <w:rsid w:val="00C9773D"/>
    <w:rsid w:val="00CB4302"/>
    <w:rsid w:val="00CB7285"/>
    <w:rsid w:val="00CB7B3E"/>
    <w:rsid w:val="00CC739D"/>
    <w:rsid w:val="00D04468"/>
    <w:rsid w:val="00D15F0D"/>
    <w:rsid w:val="00D36257"/>
    <w:rsid w:val="00D44E99"/>
    <w:rsid w:val="00D4687E"/>
    <w:rsid w:val="00D53A12"/>
    <w:rsid w:val="00D73529"/>
    <w:rsid w:val="00D9554F"/>
    <w:rsid w:val="00DB0C43"/>
    <w:rsid w:val="00DD096B"/>
    <w:rsid w:val="00DD7CA2"/>
    <w:rsid w:val="00DE3354"/>
    <w:rsid w:val="00DF3489"/>
    <w:rsid w:val="00DF7DCD"/>
    <w:rsid w:val="00E07B3C"/>
    <w:rsid w:val="00E2121F"/>
    <w:rsid w:val="00E808E4"/>
    <w:rsid w:val="00E81114"/>
    <w:rsid w:val="00EB0A2F"/>
    <w:rsid w:val="00EB7D28"/>
    <w:rsid w:val="00EC0D0C"/>
    <w:rsid w:val="00ED4A2C"/>
    <w:rsid w:val="00EE010B"/>
    <w:rsid w:val="00EE2BF1"/>
    <w:rsid w:val="00EF3CE2"/>
    <w:rsid w:val="00EF6940"/>
    <w:rsid w:val="00F2044A"/>
    <w:rsid w:val="00F20BFC"/>
    <w:rsid w:val="00F24D5F"/>
    <w:rsid w:val="00F43358"/>
    <w:rsid w:val="00F65047"/>
    <w:rsid w:val="00F726C3"/>
    <w:rsid w:val="00F82CF5"/>
    <w:rsid w:val="00F83C02"/>
    <w:rsid w:val="00F8554C"/>
    <w:rsid w:val="00F97A90"/>
    <w:rsid w:val="00FB228F"/>
    <w:rsid w:val="00FC0580"/>
    <w:rsid w:val="00FC2F35"/>
    <w:rsid w:val="00FC3FD7"/>
    <w:rsid w:val="00FD1FC6"/>
    <w:rsid w:val="00FE5869"/>
    <w:rsid w:val="00FE75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3CB2"/>
    <w:rPr>
      <w:sz w:val="24"/>
      <w:lang w:val="en-US" w:eastAsia="en-US"/>
    </w:rPr>
  </w:style>
  <w:style w:type="paragraph" w:styleId="1">
    <w:name w:val="heading 1"/>
    <w:basedOn w:val="a"/>
    <w:next w:val="Paragraph"/>
    <w:qFormat/>
    <w:rsid w:val="00C34BB1"/>
    <w:pPr>
      <w:keepNext/>
      <w:spacing w:before="240" w:after="240"/>
      <w:jc w:val="center"/>
      <w:outlineLvl w:val="0"/>
    </w:pPr>
    <w:rPr>
      <w:b/>
      <w:caps/>
      <w:sz w:val="36"/>
    </w:rPr>
  </w:style>
  <w:style w:type="paragraph" w:styleId="2">
    <w:name w:val="heading 2"/>
    <w:basedOn w:val="a"/>
    <w:next w:val="Paragraph"/>
    <w:qFormat/>
    <w:pPr>
      <w:keepNext/>
      <w:spacing w:before="240" w:after="240"/>
      <w:jc w:val="center"/>
      <w:outlineLvl w:val="1"/>
    </w:pPr>
    <w:rPr>
      <w:b/>
    </w:rPr>
  </w:style>
  <w:style w:type="paragraph" w:styleId="3">
    <w:name w:val="heading 3"/>
    <w:basedOn w:val="a"/>
    <w:next w:val="a"/>
    <w:qFormat/>
    <w:pPr>
      <w:keepNext/>
      <w:spacing w:before="240" w:after="240"/>
      <w:jc w:val="center"/>
      <w:outlineLvl w:val="2"/>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6"/>
    </w:rPr>
  </w:style>
  <w:style w:type="paragraph" w:customStyle="1" w:styleId="PaperTitle">
    <w:name w:val="Paper Title"/>
    <w:basedOn w:val="a"/>
    <w:next w:val="AuthorName"/>
    <w:pPr>
      <w:spacing w:before="1200"/>
      <w:jc w:val="center"/>
    </w:pPr>
    <w:rPr>
      <w:b/>
      <w:sz w:val="36"/>
    </w:rPr>
  </w:style>
  <w:style w:type="paragraph" w:customStyle="1" w:styleId="AuthorName">
    <w:name w:val="Author Name"/>
    <w:basedOn w:val="a"/>
    <w:next w:val="AuthorAffiliation"/>
    <w:pPr>
      <w:spacing w:before="360" w:after="360"/>
      <w:jc w:val="center"/>
    </w:pPr>
    <w:rPr>
      <w:sz w:val="28"/>
    </w:rPr>
  </w:style>
  <w:style w:type="paragraph" w:customStyle="1" w:styleId="AuthorAffiliation">
    <w:name w:val="Author Affiliation"/>
    <w:basedOn w:val="a"/>
    <w:pPr>
      <w:jc w:val="center"/>
    </w:pPr>
    <w:rPr>
      <w:i/>
      <w:sz w:val="20"/>
    </w:rPr>
  </w:style>
  <w:style w:type="paragraph" w:customStyle="1" w:styleId="Abstract">
    <w:name w:val="Abstract"/>
    <w:basedOn w:val="a"/>
    <w:next w:val="1"/>
    <w:rsid w:val="00F20BFC"/>
    <w:pPr>
      <w:spacing w:before="360" w:after="360"/>
      <w:ind w:left="289" w:right="289"/>
      <w:jc w:val="both"/>
    </w:pPr>
    <w:rPr>
      <w:sz w:val="18"/>
    </w:rPr>
  </w:style>
  <w:style w:type="paragraph" w:customStyle="1" w:styleId="Paragraph">
    <w:name w:val="Paragraph"/>
    <w:basedOn w:val="a"/>
    <w:rsid w:val="00F83C02"/>
    <w:pPr>
      <w:ind w:firstLine="284"/>
      <w:jc w:val="both"/>
    </w:pPr>
    <w:rPr>
      <w:sz w:val="30"/>
    </w:rPr>
  </w:style>
  <w:style w:type="character" w:styleId="a4">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C34BB1"/>
    <w:pPr>
      <w:spacing w:before="120"/>
      <w:jc w:val="center"/>
    </w:pPr>
    <w:rPr>
      <w:sz w:val="2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a5">
    <w:name w:val="Balloon Text"/>
    <w:basedOn w:val="a"/>
    <w:link w:val="a6"/>
    <w:rsid w:val="00114AB1"/>
    <w:rPr>
      <w:rFonts w:ascii="Tahoma" w:hAnsi="Tahoma" w:cs="Tahoma"/>
      <w:sz w:val="16"/>
      <w:szCs w:val="16"/>
    </w:rPr>
  </w:style>
  <w:style w:type="character" w:customStyle="1" w:styleId="a6">
    <w:name w:val="Текст выноски Знак"/>
    <w:basedOn w:val="a0"/>
    <w:link w:val="a5"/>
    <w:rsid w:val="00114AB1"/>
    <w:rPr>
      <w:rFonts w:ascii="Tahoma" w:hAnsi="Tahoma" w:cs="Tahoma"/>
      <w:sz w:val="16"/>
      <w:szCs w:val="16"/>
      <w:lang w:val="en-US" w:eastAsia="en-US"/>
    </w:rPr>
  </w:style>
  <w:style w:type="character" w:styleId="a7">
    <w:name w:val="Hyperlink"/>
    <w:rPr>
      <w:color w:val="0000FF"/>
      <w:u w:val="single"/>
    </w:rPr>
  </w:style>
  <w:style w:type="table" w:styleId="a8">
    <w:name w:val="Table Grid"/>
    <w:basedOn w:val="a1"/>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a"/>
    <w:qFormat/>
    <w:rsid w:val="001D469C"/>
    <w:pPr>
      <w:jc w:val="center"/>
    </w:pPr>
    <w:rPr>
      <w:sz w:val="20"/>
    </w:rPr>
  </w:style>
  <w:style w:type="paragraph" w:styleId="a9">
    <w:name w:val="Normal (Web)"/>
    <w:basedOn w:val="a"/>
    <w:uiPriority w:val="99"/>
    <w:unhideWhenUsed/>
    <w:rsid w:val="005F7475"/>
    <w:pPr>
      <w:spacing w:before="100" w:beforeAutospacing="1" w:after="100" w:afterAutospacing="1"/>
    </w:pPr>
    <w:rPr>
      <w:szCs w:val="24"/>
      <w:lang w:val="en-GB" w:eastAsia="en-GB"/>
    </w:rPr>
  </w:style>
  <w:style w:type="character" w:styleId="aa">
    <w:name w:val="Strong"/>
    <w:basedOn w:val="a0"/>
    <w:uiPriority w:val="22"/>
    <w:qFormat/>
    <w:rsid w:val="005F7475"/>
    <w:rPr>
      <w:b/>
      <w:bCs/>
    </w:rPr>
  </w:style>
  <w:style w:type="character" w:styleId="ab">
    <w:name w:val="Emphasis"/>
    <w:basedOn w:val="a0"/>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3CB2"/>
    <w:rPr>
      <w:sz w:val="24"/>
      <w:lang w:val="en-US" w:eastAsia="en-US"/>
    </w:rPr>
  </w:style>
  <w:style w:type="paragraph" w:styleId="1">
    <w:name w:val="heading 1"/>
    <w:basedOn w:val="a"/>
    <w:next w:val="Paragraph"/>
    <w:qFormat/>
    <w:rsid w:val="00C34BB1"/>
    <w:pPr>
      <w:keepNext/>
      <w:spacing w:before="240" w:after="240"/>
      <w:jc w:val="center"/>
      <w:outlineLvl w:val="0"/>
    </w:pPr>
    <w:rPr>
      <w:b/>
      <w:caps/>
      <w:sz w:val="36"/>
    </w:rPr>
  </w:style>
  <w:style w:type="paragraph" w:styleId="2">
    <w:name w:val="heading 2"/>
    <w:basedOn w:val="a"/>
    <w:next w:val="Paragraph"/>
    <w:qFormat/>
    <w:pPr>
      <w:keepNext/>
      <w:spacing w:before="240" w:after="240"/>
      <w:jc w:val="center"/>
      <w:outlineLvl w:val="1"/>
    </w:pPr>
    <w:rPr>
      <w:b/>
    </w:rPr>
  </w:style>
  <w:style w:type="paragraph" w:styleId="3">
    <w:name w:val="heading 3"/>
    <w:basedOn w:val="a"/>
    <w:next w:val="a"/>
    <w:qFormat/>
    <w:pPr>
      <w:keepNext/>
      <w:spacing w:before="240" w:after="240"/>
      <w:jc w:val="center"/>
      <w:outlineLvl w:val="2"/>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6"/>
    </w:rPr>
  </w:style>
  <w:style w:type="paragraph" w:customStyle="1" w:styleId="PaperTitle">
    <w:name w:val="Paper Title"/>
    <w:basedOn w:val="a"/>
    <w:next w:val="AuthorName"/>
    <w:pPr>
      <w:spacing w:before="1200"/>
      <w:jc w:val="center"/>
    </w:pPr>
    <w:rPr>
      <w:b/>
      <w:sz w:val="36"/>
    </w:rPr>
  </w:style>
  <w:style w:type="paragraph" w:customStyle="1" w:styleId="AuthorName">
    <w:name w:val="Author Name"/>
    <w:basedOn w:val="a"/>
    <w:next w:val="AuthorAffiliation"/>
    <w:pPr>
      <w:spacing w:before="360" w:after="360"/>
      <w:jc w:val="center"/>
    </w:pPr>
    <w:rPr>
      <w:sz w:val="28"/>
    </w:rPr>
  </w:style>
  <w:style w:type="paragraph" w:customStyle="1" w:styleId="AuthorAffiliation">
    <w:name w:val="Author Affiliation"/>
    <w:basedOn w:val="a"/>
    <w:pPr>
      <w:jc w:val="center"/>
    </w:pPr>
    <w:rPr>
      <w:i/>
      <w:sz w:val="20"/>
    </w:rPr>
  </w:style>
  <w:style w:type="paragraph" w:customStyle="1" w:styleId="Abstract">
    <w:name w:val="Abstract"/>
    <w:basedOn w:val="a"/>
    <w:next w:val="1"/>
    <w:rsid w:val="00F20BFC"/>
    <w:pPr>
      <w:spacing w:before="360" w:after="360"/>
      <w:ind w:left="289" w:right="289"/>
      <w:jc w:val="both"/>
    </w:pPr>
    <w:rPr>
      <w:sz w:val="18"/>
    </w:rPr>
  </w:style>
  <w:style w:type="paragraph" w:customStyle="1" w:styleId="Paragraph">
    <w:name w:val="Paragraph"/>
    <w:basedOn w:val="a"/>
    <w:rsid w:val="00F83C02"/>
    <w:pPr>
      <w:ind w:firstLine="284"/>
      <w:jc w:val="both"/>
    </w:pPr>
    <w:rPr>
      <w:sz w:val="30"/>
    </w:rPr>
  </w:style>
  <w:style w:type="character" w:styleId="a4">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C34BB1"/>
    <w:pPr>
      <w:spacing w:before="120"/>
      <w:jc w:val="center"/>
    </w:pPr>
    <w:rPr>
      <w:sz w:val="2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a5">
    <w:name w:val="Balloon Text"/>
    <w:basedOn w:val="a"/>
    <w:link w:val="a6"/>
    <w:rsid w:val="00114AB1"/>
    <w:rPr>
      <w:rFonts w:ascii="Tahoma" w:hAnsi="Tahoma" w:cs="Tahoma"/>
      <w:sz w:val="16"/>
      <w:szCs w:val="16"/>
    </w:rPr>
  </w:style>
  <w:style w:type="character" w:customStyle="1" w:styleId="a6">
    <w:name w:val="Текст выноски Знак"/>
    <w:basedOn w:val="a0"/>
    <w:link w:val="a5"/>
    <w:rsid w:val="00114AB1"/>
    <w:rPr>
      <w:rFonts w:ascii="Tahoma" w:hAnsi="Tahoma" w:cs="Tahoma"/>
      <w:sz w:val="16"/>
      <w:szCs w:val="16"/>
      <w:lang w:val="en-US" w:eastAsia="en-US"/>
    </w:rPr>
  </w:style>
  <w:style w:type="character" w:styleId="a7">
    <w:name w:val="Hyperlink"/>
    <w:rPr>
      <w:color w:val="0000FF"/>
      <w:u w:val="single"/>
    </w:rPr>
  </w:style>
  <w:style w:type="table" w:styleId="a8">
    <w:name w:val="Table Grid"/>
    <w:basedOn w:val="a1"/>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a"/>
    <w:qFormat/>
    <w:rsid w:val="001D469C"/>
    <w:pPr>
      <w:jc w:val="center"/>
    </w:pPr>
    <w:rPr>
      <w:sz w:val="20"/>
    </w:rPr>
  </w:style>
  <w:style w:type="paragraph" w:styleId="a9">
    <w:name w:val="Normal (Web)"/>
    <w:basedOn w:val="a"/>
    <w:uiPriority w:val="99"/>
    <w:unhideWhenUsed/>
    <w:rsid w:val="005F7475"/>
    <w:pPr>
      <w:spacing w:before="100" w:beforeAutospacing="1" w:after="100" w:afterAutospacing="1"/>
    </w:pPr>
    <w:rPr>
      <w:szCs w:val="24"/>
      <w:lang w:val="en-GB" w:eastAsia="en-GB"/>
    </w:rPr>
  </w:style>
  <w:style w:type="character" w:styleId="aa">
    <w:name w:val="Strong"/>
    <w:basedOn w:val="a0"/>
    <w:uiPriority w:val="22"/>
    <w:qFormat/>
    <w:rsid w:val="005F7475"/>
    <w:rPr>
      <w:b/>
      <w:bCs/>
    </w:rPr>
  </w:style>
  <w:style w:type="character" w:styleId="ab">
    <w:name w:val="Emphasis"/>
    <w:basedOn w:val="a0"/>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4.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M:\Science\Conferences\2018\&#1045;-&#1073;&#1091;&#1088;&#1075;\Example_paper_for_autho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D3F3-9335-4D25-9607-BE46970D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Example_paper_for_authors</Template>
  <TotalTime>48</TotalTime>
  <Pages>8</Pages>
  <Words>1847</Words>
  <Characters>9934</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3D Numerical Study of the Elastic and Strength Properties of Ceramics with Cylindrical Pores</vt:lpstr>
      <vt:lpstr>Title Goes Here</vt:lpstr>
    </vt:vector>
  </TitlesOfParts>
  <Company>PPI</Company>
  <LinksUpToDate>false</LinksUpToDate>
  <CharactersWithSpaces>11758</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 Numerical Study of the Elastic and Strength Properties of Ceramics with Cylindrical Pores</dc:title>
  <dc:creator>Smolin;Shalomeeva;Smolina</dc:creator>
  <cp:lastModifiedBy>rec</cp:lastModifiedBy>
  <cp:revision>6</cp:revision>
  <cp:lastPrinted>2011-03-03T08:29:00Z</cp:lastPrinted>
  <dcterms:created xsi:type="dcterms:W3CDTF">2018-05-16T04:49:00Z</dcterms:created>
  <dcterms:modified xsi:type="dcterms:W3CDTF">2018-05-16T05:37:00Z</dcterms:modified>
</cp:coreProperties>
</file>